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46879">
      <w:pPr>
        <w:shd w:val="clear"/>
        <w:spacing w:before="156" w:beforeLines="50" w:line="480" w:lineRule="auto"/>
        <w:ind w:firstLine="0" w:firstLineChars="0"/>
        <w:jc w:val="center"/>
        <w:rPr>
          <w:rFonts w:hint="default" w:ascii="Times New Roman" w:hAnsi="Times New Roman" w:cs="Times New Roman"/>
          <w:b/>
          <w:bCs/>
          <w:sz w:val="44"/>
          <w:szCs w:val="44"/>
          <w:highlight w:val="none"/>
          <w:lang w:eastAsia="zh-CN"/>
        </w:rPr>
      </w:pPr>
      <w:bookmarkStart w:id="0" w:name="_Toc19124"/>
      <w:bookmarkStart w:id="1" w:name="_Hlk154410453"/>
    </w:p>
    <w:p w14:paraId="6BF19036">
      <w:pPr>
        <w:shd w:val="clear"/>
        <w:spacing w:before="156" w:beforeLines="50" w:line="480" w:lineRule="auto"/>
        <w:ind w:firstLine="0" w:firstLineChars="0"/>
        <w:jc w:val="center"/>
        <w:rPr>
          <w:rFonts w:hint="default" w:ascii="Times New Roman" w:hAnsi="Times New Roman" w:cs="Times New Roman"/>
          <w:b/>
          <w:bCs/>
          <w:sz w:val="44"/>
          <w:szCs w:val="44"/>
          <w:highlight w:val="none"/>
          <w:lang w:eastAsia="zh-CN"/>
        </w:rPr>
      </w:pPr>
    </w:p>
    <w:p w14:paraId="25E0CCC8">
      <w:pPr>
        <w:shd w:val="clear"/>
        <w:spacing w:before="156" w:beforeLines="50" w:line="480" w:lineRule="auto"/>
        <w:ind w:firstLine="0" w:firstLineChars="0"/>
        <w:jc w:val="center"/>
        <w:rPr>
          <w:rFonts w:hint="default" w:ascii="Times New Roman" w:hAnsi="Times New Roman" w:cs="Times New Roman"/>
          <w:b/>
          <w:bCs/>
          <w:sz w:val="44"/>
          <w:szCs w:val="44"/>
          <w:highlight w:val="none"/>
          <w:lang w:eastAsia="zh-CN"/>
        </w:rPr>
      </w:pPr>
      <w:r>
        <w:rPr>
          <w:rFonts w:hint="default" w:ascii="Times New Roman" w:hAnsi="Times New Roman" w:cs="Times New Roman"/>
          <w:b/>
          <w:bCs/>
          <w:sz w:val="44"/>
          <w:szCs w:val="44"/>
          <w:highlight w:val="none"/>
          <w:lang w:eastAsia="zh-CN"/>
        </w:rPr>
        <w:t>惠州大亚湾经济技术开发区</w:t>
      </w:r>
      <w:bookmarkEnd w:id="0"/>
    </w:p>
    <w:p w14:paraId="6A550C5A">
      <w:pPr>
        <w:shd w:val="clear"/>
        <w:spacing w:before="156" w:beforeLines="50" w:line="480" w:lineRule="auto"/>
        <w:ind w:firstLine="0" w:firstLineChars="0"/>
        <w:jc w:val="center"/>
        <w:rPr>
          <w:rFonts w:hint="default" w:ascii="Times New Roman" w:hAnsi="Times New Roman" w:cs="Times New Roman"/>
          <w:b/>
          <w:bCs/>
          <w:sz w:val="44"/>
          <w:szCs w:val="44"/>
          <w:highlight w:val="none"/>
          <w:lang w:eastAsia="zh-CN"/>
        </w:rPr>
      </w:pPr>
      <w:bookmarkStart w:id="2" w:name="_Toc11531"/>
      <w:r>
        <w:rPr>
          <w:rFonts w:hint="default" w:ascii="Times New Roman" w:hAnsi="Times New Roman" w:cs="Times New Roman"/>
          <w:b/>
          <w:bCs/>
          <w:sz w:val="44"/>
          <w:szCs w:val="44"/>
          <w:highlight w:val="none"/>
          <w:lang w:eastAsia="zh-CN"/>
        </w:rPr>
        <w:t>突发环境事件应急预案</w:t>
      </w:r>
      <w:bookmarkEnd w:id="2"/>
    </w:p>
    <w:p w14:paraId="076BBFC0">
      <w:pPr>
        <w:shd w:val="clear"/>
        <w:spacing w:before="156" w:beforeLines="50" w:line="480" w:lineRule="auto"/>
        <w:ind w:firstLine="0" w:firstLineChars="0"/>
        <w:jc w:val="center"/>
        <w:rPr>
          <w:rFonts w:hint="default" w:ascii="Times New Roman" w:hAnsi="Times New Roman" w:cs="Times New Roman"/>
          <w:b/>
          <w:bCs/>
          <w:sz w:val="44"/>
          <w:szCs w:val="44"/>
          <w:highlight w:val="none"/>
          <w:lang w:eastAsia="zh-CN"/>
        </w:rPr>
      </w:pPr>
      <w:r>
        <w:rPr>
          <w:rFonts w:hint="default" w:ascii="Times New Roman" w:hAnsi="Times New Roman" w:cs="Times New Roman"/>
          <w:b/>
          <w:bCs/>
          <w:sz w:val="44"/>
          <w:szCs w:val="44"/>
          <w:highlight w:val="none"/>
          <w:lang w:eastAsia="zh-CN"/>
        </w:rPr>
        <w:t>（202</w:t>
      </w:r>
      <w:r>
        <w:rPr>
          <w:rFonts w:hint="eastAsia" w:ascii="Times New Roman" w:hAnsi="Times New Roman" w:cs="Times New Roman"/>
          <w:b/>
          <w:bCs/>
          <w:sz w:val="44"/>
          <w:szCs w:val="44"/>
          <w:highlight w:val="none"/>
          <w:lang w:val="en-US" w:eastAsia="zh-CN"/>
        </w:rPr>
        <w:t>5</w:t>
      </w:r>
      <w:r>
        <w:rPr>
          <w:rFonts w:hint="default" w:ascii="Times New Roman" w:hAnsi="Times New Roman" w:cs="Times New Roman"/>
          <w:b/>
          <w:bCs/>
          <w:sz w:val="44"/>
          <w:szCs w:val="44"/>
          <w:highlight w:val="none"/>
          <w:lang w:eastAsia="zh-CN"/>
        </w:rPr>
        <w:t>年</w:t>
      </w:r>
      <w:r>
        <w:rPr>
          <w:rFonts w:hint="eastAsia" w:ascii="Times New Roman" w:hAnsi="Times New Roman" w:cs="Times New Roman"/>
          <w:b/>
          <w:bCs/>
          <w:sz w:val="44"/>
          <w:szCs w:val="44"/>
          <w:highlight w:val="none"/>
          <w:lang w:eastAsia="zh-CN"/>
        </w:rPr>
        <w:t>修订版</w:t>
      </w:r>
      <w:r>
        <w:rPr>
          <w:rFonts w:hint="default" w:ascii="Times New Roman" w:hAnsi="Times New Roman" w:cs="Times New Roman"/>
          <w:b/>
          <w:bCs/>
          <w:sz w:val="44"/>
          <w:szCs w:val="44"/>
          <w:highlight w:val="none"/>
          <w:lang w:eastAsia="zh-CN"/>
        </w:rPr>
        <w:t>）</w:t>
      </w:r>
    </w:p>
    <w:p w14:paraId="6EF3542A">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7A69FDE7">
      <w:pPr>
        <w:pStyle w:val="15"/>
        <w:shd w:val="clear"/>
        <w:ind w:firstLine="0" w:firstLineChars="0"/>
        <w:rPr>
          <w:rFonts w:hint="default" w:ascii="Times New Roman" w:hAnsi="Times New Roman" w:cs="Times New Roman"/>
          <w:color w:val="000000" w:themeColor="text1"/>
          <w:szCs w:val="28"/>
          <w:highlight w:val="none"/>
          <w:lang w:eastAsia="zh-CN"/>
          <w14:textFill>
            <w14:solidFill>
              <w14:schemeClr w14:val="tx1"/>
            </w14:solidFill>
          </w14:textFill>
        </w:rPr>
      </w:pPr>
    </w:p>
    <w:p w14:paraId="571C5F5B">
      <w:pPr>
        <w:pStyle w:val="15"/>
        <w:shd w:val="clear"/>
        <w:ind w:firstLine="0" w:firstLineChars="0"/>
        <w:rPr>
          <w:rFonts w:hint="default" w:ascii="Times New Roman" w:hAnsi="Times New Roman" w:cs="Times New Roman"/>
          <w:color w:val="000000" w:themeColor="text1"/>
          <w:szCs w:val="28"/>
          <w:highlight w:val="none"/>
          <w:lang w:eastAsia="zh-CN"/>
          <w14:textFill>
            <w14:solidFill>
              <w14:schemeClr w14:val="tx1"/>
            </w14:solidFill>
          </w14:textFill>
        </w:rPr>
      </w:pPr>
    </w:p>
    <w:p w14:paraId="0F9932E0">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370A037B">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68717752">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311317DE">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217E7E5F">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187CE0E2">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4B5097C7">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5CEC1C02">
      <w:pPr>
        <w:pStyle w:val="15"/>
        <w:shd w:val="clear"/>
        <w:ind w:firstLine="0" w:firstLineChars="0"/>
        <w:rPr>
          <w:rFonts w:hint="default" w:ascii="Times New Roman" w:hAnsi="Times New Roman" w:cs="Times New Roman"/>
          <w:color w:val="000000" w:themeColor="text1"/>
          <w:sz w:val="44"/>
          <w:highlight w:val="none"/>
          <w:lang w:eastAsia="zh-CN"/>
          <w14:textFill>
            <w14:solidFill>
              <w14:schemeClr w14:val="tx1"/>
            </w14:solidFill>
          </w14:textFill>
        </w:rPr>
      </w:pPr>
    </w:p>
    <w:p w14:paraId="3B93B2B3">
      <w:pPr>
        <w:shd w:val="clear"/>
        <w:spacing w:line="480" w:lineRule="auto"/>
        <w:ind w:firstLine="0" w:firstLineChars="0"/>
        <w:rPr>
          <w:rFonts w:hint="default" w:ascii="Times New Roman" w:hAnsi="Times New Roman" w:cs="Times New Roman"/>
          <w:color w:val="000000" w:themeColor="text1"/>
          <w:sz w:val="44"/>
          <w:szCs w:val="24"/>
          <w:highlight w:val="none"/>
          <w:lang w:eastAsia="zh-CN"/>
          <w14:textFill>
            <w14:solidFill>
              <w14:schemeClr w14:val="tx1"/>
            </w14:solidFill>
          </w14:textFill>
        </w:rPr>
      </w:pPr>
    </w:p>
    <w:p w14:paraId="61DC78CC">
      <w:pPr>
        <w:shd w:val="clear"/>
        <w:ind w:firstLine="0" w:firstLineChars="0"/>
        <w:jc w:val="center"/>
        <w:rPr>
          <w:rFonts w:hint="default" w:ascii="Times New Roman" w:hAnsi="Times New Roman" w:cs="Times New Roman"/>
          <w:sz w:val="30"/>
          <w:szCs w:val="30"/>
          <w:highlight w:val="none"/>
          <w:lang w:eastAsia="zh-CN"/>
        </w:rPr>
      </w:pPr>
      <w:r>
        <w:rPr>
          <w:rFonts w:hint="default" w:ascii="Times New Roman" w:hAnsi="Times New Roman" w:cs="Times New Roman"/>
          <w:sz w:val="30"/>
          <w:szCs w:val="30"/>
          <w:highlight w:val="none"/>
          <w:lang w:eastAsia="zh-CN"/>
        </w:rPr>
        <w:t>惠州大亚湾开发区党工委管委会综合办公室</w:t>
      </w:r>
    </w:p>
    <w:p w14:paraId="53A0989D">
      <w:pPr>
        <w:shd w:val="clear"/>
        <w:ind w:firstLine="0" w:firstLineChars="0"/>
        <w:jc w:val="center"/>
        <w:rPr>
          <w:rFonts w:hint="default" w:ascii="Times New Roman" w:hAnsi="Times New Roman" w:eastAsia="黑体" w:cs="Times New Roman"/>
          <w:sz w:val="30"/>
          <w:szCs w:val="30"/>
          <w:highlight w:val="none"/>
          <w:lang w:eastAsia="zh-CN"/>
        </w:rPr>
      </w:pPr>
      <w:r>
        <w:rPr>
          <w:rFonts w:hint="default" w:ascii="Times New Roman" w:hAnsi="Times New Roman" w:cs="Times New Roman"/>
          <w:sz w:val="30"/>
          <w:szCs w:val="30"/>
          <w:highlight w:val="none"/>
          <w:lang w:eastAsia="zh-CN"/>
        </w:rPr>
        <w:t>二〇二</w:t>
      </w:r>
      <w:bookmarkEnd w:id="1"/>
      <w:r>
        <w:rPr>
          <w:rFonts w:hint="eastAsia" w:ascii="Times New Roman" w:hAnsi="Times New Roman" w:cs="Times New Roman"/>
          <w:sz w:val="30"/>
          <w:szCs w:val="30"/>
          <w:highlight w:val="none"/>
          <w:lang w:eastAsia="zh-CN"/>
        </w:rPr>
        <w:t>五</w:t>
      </w:r>
      <w:r>
        <w:rPr>
          <w:rFonts w:hint="default" w:ascii="Times New Roman" w:hAnsi="Times New Roman" w:cs="Times New Roman"/>
          <w:sz w:val="30"/>
          <w:szCs w:val="30"/>
          <w:highlight w:val="none"/>
          <w:lang w:eastAsia="zh-CN"/>
        </w:rPr>
        <w:t>年</w:t>
      </w:r>
      <w:r>
        <w:rPr>
          <w:rFonts w:hint="eastAsia" w:ascii="Times New Roman" w:hAnsi="Times New Roman" w:cs="Times New Roman"/>
          <w:sz w:val="30"/>
          <w:szCs w:val="30"/>
          <w:highlight w:val="none"/>
          <w:lang w:val="en-US" w:eastAsia="zh-CN"/>
        </w:rPr>
        <w:t>九</w:t>
      </w:r>
      <w:r>
        <w:rPr>
          <w:rFonts w:hint="default" w:ascii="Times New Roman" w:hAnsi="Times New Roman" w:cs="Times New Roman"/>
          <w:sz w:val="30"/>
          <w:szCs w:val="30"/>
          <w:highlight w:val="none"/>
          <w:lang w:eastAsia="zh-CN"/>
        </w:rPr>
        <w:t>月</w:t>
      </w:r>
    </w:p>
    <w:p w14:paraId="5F72B478">
      <w:pPr>
        <w:shd w:val="clear"/>
        <w:ind w:firstLine="640"/>
        <w:rPr>
          <w:rFonts w:hint="default" w:ascii="Times New Roman" w:hAnsi="Times New Roman" w:cs="Times New Roman"/>
          <w:color w:val="000000" w:themeColor="text1"/>
          <w:sz w:val="32"/>
          <w:szCs w:val="32"/>
          <w:highlight w:val="none"/>
          <w:lang w:eastAsia="zh-CN"/>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984" w:right="1417" w:bottom="1814" w:left="1417" w:header="851" w:footer="992" w:gutter="0"/>
          <w:cols w:space="0" w:num="1"/>
          <w:rtlGutter w:val="0"/>
          <w:docGrid w:type="lines" w:linePitch="383" w:charSpace="0"/>
        </w:sectPr>
      </w:pPr>
    </w:p>
    <w:p w14:paraId="33067568">
      <w:pPr>
        <w:shd w:val="clear"/>
        <w:spacing w:line="240" w:lineRule="auto"/>
        <w:ind w:firstLine="0" w:firstLineChars="0"/>
        <w:jc w:val="center"/>
        <w:rPr>
          <w:rFonts w:hint="default" w:ascii="Times New Roman" w:hAnsi="Times New Roman" w:eastAsia="黑体" w:cs="Times New Roman"/>
          <w:sz w:val="44"/>
          <w:szCs w:val="36"/>
          <w:highlight w:val="none"/>
        </w:rPr>
      </w:pPr>
      <w:r>
        <w:rPr>
          <w:rFonts w:hint="default" w:ascii="Times New Roman" w:hAnsi="Times New Roman" w:eastAsia="黑体" w:cs="Times New Roman"/>
          <w:sz w:val="32"/>
          <w:szCs w:val="36"/>
          <w:highlight w:val="none"/>
        </w:rPr>
        <w:t>目</w:t>
      </w:r>
      <w:r>
        <w:rPr>
          <w:rFonts w:hint="default" w:ascii="Times New Roman" w:hAnsi="Times New Roman" w:eastAsia="黑体" w:cs="Times New Roman"/>
          <w:sz w:val="32"/>
          <w:szCs w:val="36"/>
          <w:highlight w:val="none"/>
          <w:lang w:eastAsia="zh-CN"/>
        </w:rPr>
        <w:t xml:space="preserve"> </w:t>
      </w:r>
      <w:r>
        <w:rPr>
          <w:rFonts w:hint="default" w:ascii="Times New Roman" w:hAnsi="Times New Roman" w:eastAsia="黑体" w:cs="Times New Roman"/>
          <w:sz w:val="32"/>
          <w:szCs w:val="36"/>
          <w:highlight w:val="none"/>
        </w:rPr>
        <w:t>录</w:t>
      </w:r>
    </w:p>
    <w:p w14:paraId="368748FD">
      <w:pPr>
        <w:pStyle w:val="22"/>
        <w:tabs>
          <w:tab w:val="right" w:leader="dot" w:pos="8788"/>
        </w:tabs>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TOC \o "1-2" \h \z \u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_Toc31533 </w:instrText>
      </w:r>
      <w:r>
        <w:rPr>
          <w:rFonts w:hint="default" w:ascii="Times New Roman" w:hAnsi="Times New Roman" w:cs="Times New Roman"/>
          <w:highlight w:val="none"/>
        </w:rPr>
        <w:fldChar w:fldCharType="separate"/>
      </w:r>
      <w:r>
        <w:rPr>
          <w:rFonts w:hint="default" w:ascii="Times New Roman" w:hAnsi="Times New Roman" w:cs="Times New Roman"/>
        </w:rPr>
        <w:t xml:space="preserve">1 </w:t>
      </w:r>
      <w:r>
        <w:rPr>
          <w:rFonts w:hint="default" w:ascii="Times New Roman" w:hAnsi="Times New Roman" w:cs="Times New Roman"/>
          <w:highlight w:val="none"/>
        </w:rPr>
        <w:t>总则</w:t>
      </w:r>
      <w:r>
        <w:tab/>
      </w:r>
      <w:r>
        <w:fldChar w:fldCharType="begin"/>
      </w:r>
      <w:r>
        <w:instrText xml:space="preserve"> PAGEREF _Toc31533 \h </w:instrText>
      </w:r>
      <w:r>
        <w:fldChar w:fldCharType="separate"/>
      </w:r>
      <w:r>
        <w:t>1</w:t>
      </w:r>
      <w:r>
        <w:fldChar w:fldCharType="end"/>
      </w:r>
      <w:r>
        <w:rPr>
          <w:rFonts w:hint="default" w:ascii="Times New Roman" w:hAnsi="Times New Roman" w:cs="Times New Roman"/>
          <w:highlight w:val="none"/>
        </w:rPr>
        <w:fldChar w:fldCharType="end"/>
      </w:r>
    </w:p>
    <w:p w14:paraId="7F567992">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_Toc27527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1.1 </w:t>
      </w:r>
      <w:r>
        <w:rPr>
          <w:rFonts w:hint="default" w:ascii="Times New Roman" w:hAnsi="Times New Roman" w:cs="Times New Roman"/>
          <w:highlight w:val="none"/>
        </w:rPr>
        <w:t>编制目的</w:t>
      </w:r>
      <w:r>
        <w:tab/>
      </w:r>
      <w:r>
        <w:fldChar w:fldCharType="begin"/>
      </w:r>
      <w:r>
        <w:instrText xml:space="preserve"> PAGEREF _Toc27527 \h </w:instrText>
      </w:r>
      <w:r>
        <w:fldChar w:fldCharType="separate"/>
      </w:r>
      <w:r>
        <w:t>1</w:t>
      </w:r>
      <w:r>
        <w:fldChar w:fldCharType="end"/>
      </w:r>
      <w:r>
        <w:rPr>
          <w:rFonts w:hint="default" w:ascii="Times New Roman" w:hAnsi="Times New Roman" w:eastAsia="黑体" w:cs="Times New Roman"/>
          <w:highlight w:val="none"/>
        </w:rPr>
        <w:fldChar w:fldCharType="end"/>
      </w:r>
    </w:p>
    <w:p w14:paraId="3179B940">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_Toc1866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1.2 </w:t>
      </w:r>
      <w:r>
        <w:rPr>
          <w:rFonts w:hint="default" w:ascii="Times New Roman" w:hAnsi="Times New Roman" w:cs="Times New Roman"/>
          <w:highlight w:val="none"/>
        </w:rPr>
        <w:t>编制依据</w:t>
      </w:r>
      <w:r>
        <w:tab/>
      </w:r>
      <w:r>
        <w:fldChar w:fldCharType="begin"/>
      </w:r>
      <w:r>
        <w:instrText xml:space="preserve"> PAGEREF _Toc1866 \h </w:instrText>
      </w:r>
      <w:r>
        <w:fldChar w:fldCharType="separate"/>
      </w:r>
      <w:r>
        <w:t>1</w:t>
      </w:r>
      <w:r>
        <w:fldChar w:fldCharType="end"/>
      </w:r>
      <w:r>
        <w:rPr>
          <w:rFonts w:hint="default" w:ascii="Times New Roman" w:hAnsi="Times New Roman" w:eastAsia="黑体" w:cs="Times New Roman"/>
          <w:highlight w:val="none"/>
        </w:rPr>
        <w:fldChar w:fldCharType="end"/>
      </w:r>
    </w:p>
    <w:p w14:paraId="00299B2B">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_Toc20409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1.3 </w:t>
      </w:r>
      <w:r>
        <w:rPr>
          <w:rFonts w:hint="default" w:ascii="Times New Roman" w:hAnsi="Times New Roman" w:cs="Times New Roman"/>
          <w:highlight w:val="none"/>
        </w:rPr>
        <w:t>事</w:t>
      </w:r>
      <w:r>
        <w:rPr>
          <w:rFonts w:hint="eastAsia" w:cs="Times New Roman"/>
          <w:highlight w:val="none"/>
          <w:lang w:eastAsia="zh-CN"/>
        </w:rPr>
        <w:t>件</w:t>
      </w:r>
      <w:r>
        <w:rPr>
          <w:rFonts w:hint="default" w:ascii="Times New Roman" w:hAnsi="Times New Roman" w:cs="Times New Roman"/>
          <w:highlight w:val="none"/>
        </w:rPr>
        <w:t>分级</w:t>
      </w:r>
      <w:r>
        <w:tab/>
      </w:r>
      <w:r>
        <w:fldChar w:fldCharType="begin"/>
      </w:r>
      <w:r>
        <w:instrText xml:space="preserve"> PAGEREF _Toc20409 \h </w:instrText>
      </w:r>
      <w:r>
        <w:fldChar w:fldCharType="separate"/>
      </w:r>
      <w:r>
        <w:t>1</w:t>
      </w:r>
      <w:r>
        <w:fldChar w:fldCharType="end"/>
      </w:r>
      <w:r>
        <w:rPr>
          <w:rFonts w:hint="default" w:ascii="Times New Roman" w:hAnsi="Times New Roman" w:eastAsia="黑体" w:cs="Times New Roman"/>
          <w:highlight w:val="none"/>
        </w:rPr>
        <w:fldChar w:fldCharType="end"/>
      </w:r>
    </w:p>
    <w:p w14:paraId="097AD134">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_Toc15542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1.4 </w:t>
      </w:r>
      <w:r>
        <w:rPr>
          <w:rFonts w:hint="default" w:ascii="Times New Roman" w:hAnsi="Times New Roman" w:cs="Times New Roman"/>
          <w:highlight w:val="none"/>
        </w:rPr>
        <w:t>适用范围</w:t>
      </w:r>
      <w:r>
        <w:tab/>
      </w:r>
      <w:r>
        <w:fldChar w:fldCharType="begin"/>
      </w:r>
      <w:r>
        <w:instrText xml:space="preserve"> PAGEREF _Toc15542 \h </w:instrText>
      </w:r>
      <w:r>
        <w:fldChar w:fldCharType="separate"/>
      </w:r>
      <w:r>
        <w:t>1</w:t>
      </w:r>
      <w:r>
        <w:fldChar w:fldCharType="end"/>
      </w:r>
      <w:r>
        <w:rPr>
          <w:rFonts w:hint="default" w:ascii="Times New Roman" w:hAnsi="Times New Roman" w:eastAsia="黑体" w:cs="Times New Roman"/>
          <w:highlight w:val="none"/>
        </w:rPr>
        <w:fldChar w:fldCharType="end"/>
      </w:r>
    </w:p>
    <w:p w14:paraId="0D8D5FD7">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_Toc5780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1.5 </w:t>
      </w:r>
      <w:r>
        <w:rPr>
          <w:rFonts w:hint="default" w:ascii="Times New Roman" w:hAnsi="Times New Roman" w:cs="Times New Roman"/>
          <w:highlight w:val="none"/>
        </w:rPr>
        <w:t>工作原则</w:t>
      </w:r>
      <w:r>
        <w:tab/>
      </w:r>
      <w:r>
        <w:fldChar w:fldCharType="begin"/>
      </w:r>
      <w:r>
        <w:instrText xml:space="preserve"> PAGEREF _Toc5780 \h </w:instrText>
      </w:r>
      <w:r>
        <w:fldChar w:fldCharType="separate"/>
      </w:r>
      <w:r>
        <w:t>1</w:t>
      </w:r>
      <w:r>
        <w:fldChar w:fldCharType="end"/>
      </w:r>
      <w:r>
        <w:rPr>
          <w:rFonts w:hint="default" w:ascii="Times New Roman" w:hAnsi="Times New Roman" w:eastAsia="黑体" w:cs="Times New Roman"/>
          <w:highlight w:val="none"/>
        </w:rPr>
        <w:fldChar w:fldCharType="end"/>
      </w:r>
    </w:p>
    <w:p w14:paraId="67437B41">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_Toc2924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1.6 </w:t>
      </w:r>
      <w:r>
        <w:rPr>
          <w:rFonts w:hint="default" w:ascii="Times New Roman" w:hAnsi="Times New Roman" w:cs="Times New Roman"/>
          <w:highlight w:val="none"/>
        </w:rPr>
        <w:t>预案体系</w:t>
      </w:r>
      <w:r>
        <w:tab/>
      </w:r>
      <w:r>
        <w:fldChar w:fldCharType="begin"/>
      </w:r>
      <w:r>
        <w:instrText xml:space="preserve"> PAGEREF _Toc2924 \h </w:instrText>
      </w:r>
      <w:r>
        <w:fldChar w:fldCharType="separate"/>
      </w:r>
      <w:r>
        <w:t>2</w:t>
      </w:r>
      <w:r>
        <w:fldChar w:fldCharType="end"/>
      </w:r>
      <w:r>
        <w:rPr>
          <w:rFonts w:hint="default" w:ascii="Times New Roman" w:hAnsi="Times New Roman" w:eastAsia="黑体" w:cs="Times New Roman"/>
          <w:highlight w:val="none"/>
        </w:rPr>
        <w:fldChar w:fldCharType="end"/>
      </w:r>
    </w:p>
    <w:p w14:paraId="0D4D54B3">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_Toc14011 </w:instrText>
      </w:r>
      <w:r>
        <w:rPr>
          <w:rFonts w:hint="default" w:ascii="Times New Roman" w:hAnsi="Times New Roman" w:eastAsia="黑体" w:cs="Times New Roman"/>
          <w:highlight w:val="none"/>
        </w:rPr>
        <w:fldChar w:fldCharType="separate"/>
      </w:r>
      <w:r>
        <w:rPr>
          <w:rFonts w:hint="default" w:ascii="Times New Roman" w:hAnsi="Times New Roman" w:cs="Times New Roman"/>
          <w:lang w:bidi="ar"/>
        </w:rPr>
        <w:t xml:space="preserve">1.7 </w:t>
      </w:r>
      <w:r>
        <w:rPr>
          <w:rFonts w:hint="default" w:ascii="Times New Roman" w:hAnsi="Times New Roman" w:cs="Times New Roman"/>
          <w:highlight w:val="none"/>
          <w:lang w:bidi="ar"/>
        </w:rPr>
        <w:t>主要环境敏感目标</w:t>
      </w:r>
      <w:r>
        <w:tab/>
      </w:r>
      <w:r>
        <w:fldChar w:fldCharType="begin"/>
      </w:r>
      <w:r>
        <w:instrText xml:space="preserve"> PAGEREF _Toc14011 \h </w:instrText>
      </w:r>
      <w:r>
        <w:fldChar w:fldCharType="separate"/>
      </w:r>
      <w:r>
        <w:t>2</w:t>
      </w:r>
      <w:r>
        <w:fldChar w:fldCharType="end"/>
      </w:r>
      <w:r>
        <w:rPr>
          <w:rFonts w:hint="default" w:ascii="Times New Roman" w:hAnsi="Times New Roman" w:eastAsia="黑体" w:cs="Times New Roman"/>
          <w:highlight w:val="none"/>
        </w:rPr>
        <w:fldChar w:fldCharType="end"/>
      </w:r>
    </w:p>
    <w:p w14:paraId="4ECB39A3">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_Toc9142 </w:instrText>
      </w:r>
      <w:r>
        <w:rPr>
          <w:rFonts w:hint="default" w:ascii="Times New Roman" w:hAnsi="Times New Roman" w:eastAsia="黑体" w:cs="Times New Roman"/>
          <w:highlight w:val="none"/>
        </w:rPr>
        <w:fldChar w:fldCharType="separate"/>
      </w:r>
      <w:r>
        <w:rPr>
          <w:rFonts w:hint="default" w:ascii="Times New Roman" w:hAnsi="Times New Roman" w:cs="Times New Roman"/>
          <w:lang w:bidi="ar"/>
        </w:rPr>
        <w:t xml:space="preserve">1.8 </w:t>
      </w:r>
      <w:r>
        <w:rPr>
          <w:rFonts w:hint="default" w:ascii="Times New Roman" w:hAnsi="Times New Roman" w:cs="Times New Roman"/>
          <w:highlight w:val="none"/>
          <w:lang w:bidi="ar"/>
        </w:rPr>
        <w:t>主要环境风险分析</w:t>
      </w:r>
      <w:r>
        <w:tab/>
      </w:r>
      <w:r>
        <w:fldChar w:fldCharType="begin"/>
      </w:r>
      <w:r>
        <w:instrText xml:space="preserve"> PAGEREF _Toc9142 \h </w:instrText>
      </w:r>
      <w:r>
        <w:fldChar w:fldCharType="separate"/>
      </w:r>
      <w:r>
        <w:t>3</w:t>
      </w:r>
      <w:r>
        <w:fldChar w:fldCharType="end"/>
      </w:r>
      <w:r>
        <w:rPr>
          <w:rFonts w:hint="default" w:ascii="Times New Roman" w:hAnsi="Times New Roman" w:eastAsia="黑体" w:cs="Times New Roman"/>
          <w:highlight w:val="none"/>
        </w:rPr>
        <w:fldChar w:fldCharType="end"/>
      </w:r>
    </w:p>
    <w:p w14:paraId="22A5A478">
      <w:pPr>
        <w:pStyle w:val="22"/>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_Toc10946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 </w:t>
      </w:r>
      <w:r>
        <w:rPr>
          <w:rFonts w:hint="default" w:ascii="Times New Roman" w:hAnsi="Times New Roman" w:cs="Times New Roman"/>
          <w:highlight w:val="none"/>
        </w:rPr>
        <w:t>组织指挥体系及职责</w:t>
      </w:r>
      <w:r>
        <w:tab/>
      </w:r>
      <w:r>
        <w:fldChar w:fldCharType="begin"/>
      </w:r>
      <w:r>
        <w:instrText xml:space="preserve"> PAGEREF _Toc10946 \h </w:instrText>
      </w:r>
      <w:r>
        <w:fldChar w:fldCharType="separate"/>
      </w:r>
      <w:r>
        <w:t>4</w:t>
      </w:r>
      <w:r>
        <w:fldChar w:fldCharType="end"/>
      </w:r>
      <w:r>
        <w:rPr>
          <w:rFonts w:hint="default" w:ascii="Times New Roman" w:hAnsi="Times New Roman" w:eastAsia="黑体" w:cs="Times New Roman"/>
          <w:highlight w:val="none"/>
        </w:rPr>
        <w:fldChar w:fldCharType="end"/>
      </w:r>
    </w:p>
    <w:p w14:paraId="2888DEE5">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_Toc7068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2.1 </w:t>
      </w:r>
      <w:r>
        <w:rPr>
          <w:rFonts w:hint="default" w:ascii="Times New Roman" w:hAnsi="Times New Roman" w:cs="Times New Roman"/>
          <w:highlight w:val="none"/>
        </w:rPr>
        <w:t>组织指挥体系</w:t>
      </w:r>
      <w:r>
        <w:tab/>
      </w:r>
      <w:r>
        <w:fldChar w:fldCharType="begin"/>
      </w:r>
      <w:r>
        <w:instrText xml:space="preserve"> PAGEREF _Toc7068 \h </w:instrText>
      </w:r>
      <w:r>
        <w:fldChar w:fldCharType="separate"/>
      </w:r>
      <w:r>
        <w:t>4</w:t>
      </w:r>
      <w:r>
        <w:fldChar w:fldCharType="end"/>
      </w:r>
      <w:r>
        <w:rPr>
          <w:rFonts w:hint="default" w:ascii="Times New Roman" w:hAnsi="Times New Roman" w:eastAsia="黑体" w:cs="Times New Roman"/>
          <w:highlight w:val="none"/>
        </w:rPr>
        <w:fldChar w:fldCharType="end"/>
      </w:r>
    </w:p>
    <w:p w14:paraId="141F6D5B">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_Toc10050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2.2 </w:t>
      </w:r>
      <w:r>
        <w:rPr>
          <w:rFonts w:hint="default" w:ascii="Times New Roman" w:hAnsi="Times New Roman" w:cs="Times New Roman"/>
          <w:highlight w:val="none"/>
        </w:rPr>
        <w:t>区环境应急指挥部的组成与职责</w:t>
      </w:r>
      <w:r>
        <w:tab/>
      </w:r>
      <w:r>
        <w:fldChar w:fldCharType="begin"/>
      </w:r>
      <w:r>
        <w:instrText xml:space="preserve"> PAGEREF _Toc10050 \h </w:instrText>
      </w:r>
      <w:r>
        <w:fldChar w:fldCharType="separate"/>
      </w:r>
      <w:r>
        <w:t>5</w:t>
      </w:r>
      <w:r>
        <w:fldChar w:fldCharType="end"/>
      </w:r>
      <w:r>
        <w:rPr>
          <w:rFonts w:hint="default" w:ascii="Times New Roman" w:hAnsi="Times New Roman" w:eastAsia="黑体" w:cs="Times New Roman"/>
          <w:highlight w:val="none"/>
        </w:rPr>
        <w:fldChar w:fldCharType="end"/>
      </w:r>
    </w:p>
    <w:p w14:paraId="51CBBABD">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_Toc22817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2.3 </w:t>
      </w:r>
      <w:r>
        <w:rPr>
          <w:rFonts w:hint="default" w:ascii="Times New Roman" w:hAnsi="Times New Roman" w:cs="Times New Roman"/>
          <w:highlight w:val="none"/>
        </w:rPr>
        <w:t>专家组</w:t>
      </w:r>
      <w:r>
        <w:tab/>
      </w:r>
      <w:r>
        <w:fldChar w:fldCharType="begin"/>
      </w:r>
      <w:r>
        <w:instrText xml:space="preserve"> PAGEREF _Toc22817 \h </w:instrText>
      </w:r>
      <w:r>
        <w:fldChar w:fldCharType="separate"/>
      </w:r>
      <w:r>
        <w:t>8</w:t>
      </w:r>
      <w:r>
        <w:fldChar w:fldCharType="end"/>
      </w:r>
      <w:r>
        <w:rPr>
          <w:rFonts w:hint="default" w:ascii="Times New Roman" w:hAnsi="Times New Roman" w:eastAsia="黑体" w:cs="Times New Roman"/>
          <w:highlight w:val="none"/>
        </w:rPr>
        <w:fldChar w:fldCharType="end"/>
      </w:r>
    </w:p>
    <w:p w14:paraId="45604BD3">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_Toc14017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2.4 </w:t>
      </w:r>
      <w:r>
        <w:rPr>
          <w:rFonts w:hint="default" w:ascii="Times New Roman" w:hAnsi="Times New Roman" w:cs="Times New Roman"/>
          <w:highlight w:val="none"/>
        </w:rPr>
        <w:t>现场指挥部</w:t>
      </w:r>
      <w:r>
        <w:tab/>
      </w:r>
      <w:r>
        <w:fldChar w:fldCharType="begin"/>
      </w:r>
      <w:r>
        <w:instrText xml:space="preserve"> PAGEREF _Toc14017 \h </w:instrText>
      </w:r>
      <w:r>
        <w:fldChar w:fldCharType="separate"/>
      </w:r>
      <w:r>
        <w:t>8</w:t>
      </w:r>
      <w:r>
        <w:fldChar w:fldCharType="end"/>
      </w:r>
      <w:r>
        <w:rPr>
          <w:rFonts w:hint="default" w:ascii="Times New Roman" w:hAnsi="Times New Roman" w:eastAsia="黑体" w:cs="Times New Roman"/>
          <w:highlight w:val="none"/>
        </w:rPr>
        <w:fldChar w:fldCharType="end"/>
      </w:r>
    </w:p>
    <w:p w14:paraId="72026328">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_Toc12055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2.5 </w:t>
      </w:r>
      <w:r>
        <w:rPr>
          <w:rFonts w:hint="default" w:ascii="Times New Roman" w:hAnsi="Times New Roman" w:cs="Times New Roman"/>
          <w:highlight w:val="none"/>
        </w:rPr>
        <w:t>应急救援队伍</w:t>
      </w:r>
      <w:r>
        <w:tab/>
      </w:r>
      <w:r>
        <w:fldChar w:fldCharType="begin"/>
      </w:r>
      <w:r>
        <w:instrText xml:space="preserve"> PAGEREF _Toc12055 \h </w:instrText>
      </w:r>
      <w:r>
        <w:fldChar w:fldCharType="separate"/>
      </w:r>
      <w:r>
        <w:t>8</w:t>
      </w:r>
      <w:r>
        <w:fldChar w:fldCharType="end"/>
      </w:r>
      <w:r>
        <w:rPr>
          <w:rFonts w:hint="default" w:ascii="Times New Roman" w:hAnsi="Times New Roman" w:eastAsia="黑体" w:cs="Times New Roman"/>
          <w:highlight w:val="none"/>
        </w:rPr>
        <w:fldChar w:fldCharType="end"/>
      </w:r>
    </w:p>
    <w:p w14:paraId="60BA3218">
      <w:pPr>
        <w:pStyle w:val="22"/>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_Toc4514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3 </w:t>
      </w:r>
      <w:r>
        <w:rPr>
          <w:rFonts w:hint="default" w:ascii="Times New Roman" w:hAnsi="Times New Roman" w:cs="Times New Roman"/>
          <w:highlight w:val="none"/>
        </w:rPr>
        <w:t>运行机制</w:t>
      </w:r>
      <w:r>
        <w:tab/>
      </w:r>
      <w:r>
        <w:fldChar w:fldCharType="begin"/>
      </w:r>
      <w:r>
        <w:instrText xml:space="preserve"> PAGEREF _Toc4514 \h </w:instrText>
      </w:r>
      <w:r>
        <w:fldChar w:fldCharType="separate"/>
      </w:r>
      <w:r>
        <w:t>8</w:t>
      </w:r>
      <w:r>
        <w:fldChar w:fldCharType="end"/>
      </w:r>
      <w:r>
        <w:rPr>
          <w:rFonts w:hint="default" w:ascii="Times New Roman" w:hAnsi="Times New Roman" w:eastAsia="黑体" w:cs="Times New Roman"/>
          <w:highlight w:val="none"/>
        </w:rPr>
        <w:fldChar w:fldCharType="end"/>
      </w:r>
    </w:p>
    <w:p w14:paraId="503A13E7">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_Toc18889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3.1 </w:t>
      </w:r>
      <w:r>
        <w:rPr>
          <w:rFonts w:hint="default" w:ascii="Times New Roman" w:hAnsi="Times New Roman" w:cs="Times New Roman"/>
          <w:highlight w:val="none"/>
        </w:rPr>
        <w:t>监测预警</w:t>
      </w:r>
      <w:r>
        <w:tab/>
      </w:r>
      <w:r>
        <w:fldChar w:fldCharType="begin"/>
      </w:r>
      <w:r>
        <w:instrText xml:space="preserve"> PAGEREF _Toc18889 \h </w:instrText>
      </w:r>
      <w:r>
        <w:fldChar w:fldCharType="separate"/>
      </w:r>
      <w:r>
        <w:t>8</w:t>
      </w:r>
      <w:r>
        <w:fldChar w:fldCharType="end"/>
      </w:r>
      <w:r>
        <w:rPr>
          <w:rFonts w:hint="default" w:ascii="Times New Roman" w:hAnsi="Times New Roman" w:eastAsia="黑体" w:cs="Times New Roman"/>
          <w:highlight w:val="none"/>
        </w:rPr>
        <w:fldChar w:fldCharType="end"/>
      </w:r>
    </w:p>
    <w:p w14:paraId="513ECF13">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_Toc31409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3.2 </w:t>
      </w:r>
      <w:r>
        <w:rPr>
          <w:rFonts w:hint="default" w:ascii="Times New Roman" w:hAnsi="Times New Roman" w:cs="Times New Roman"/>
          <w:highlight w:val="none"/>
        </w:rPr>
        <w:t>应急处置</w:t>
      </w:r>
      <w:r>
        <w:tab/>
      </w:r>
      <w:r>
        <w:fldChar w:fldCharType="begin"/>
      </w:r>
      <w:r>
        <w:instrText xml:space="preserve"> PAGEREF _Toc31409 \h </w:instrText>
      </w:r>
      <w:r>
        <w:fldChar w:fldCharType="separate"/>
      </w:r>
      <w:r>
        <w:t>14</w:t>
      </w:r>
      <w:r>
        <w:fldChar w:fldCharType="end"/>
      </w:r>
      <w:r>
        <w:rPr>
          <w:rFonts w:hint="default" w:ascii="Times New Roman" w:hAnsi="Times New Roman" w:eastAsia="黑体" w:cs="Times New Roman"/>
          <w:highlight w:val="none"/>
        </w:rPr>
        <w:fldChar w:fldCharType="end"/>
      </w:r>
    </w:p>
    <w:p w14:paraId="2C009321">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_Toc12754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3.3 </w:t>
      </w:r>
      <w:r>
        <w:rPr>
          <w:rFonts w:hint="default" w:ascii="Times New Roman" w:hAnsi="Times New Roman" w:cs="Times New Roman"/>
          <w:highlight w:val="none"/>
        </w:rPr>
        <w:t>后期工作</w:t>
      </w:r>
      <w:r>
        <w:tab/>
      </w:r>
      <w:r>
        <w:fldChar w:fldCharType="begin"/>
      </w:r>
      <w:r>
        <w:instrText xml:space="preserve"> PAGEREF _Toc12754 \h </w:instrText>
      </w:r>
      <w:r>
        <w:fldChar w:fldCharType="separate"/>
      </w:r>
      <w:r>
        <w:t>24</w:t>
      </w:r>
      <w:r>
        <w:fldChar w:fldCharType="end"/>
      </w:r>
      <w:r>
        <w:rPr>
          <w:rFonts w:hint="default" w:ascii="Times New Roman" w:hAnsi="Times New Roman" w:eastAsia="黑体" w:cs="Times New Roman"/>
          <w:highlight w:val="none"/>
        </w:rPr>
        <w:fldChar w:fldCharType="end"/>
      </w:r>
    </w:p>
    <w:p w14:paraId="6830E74E">
      <w:pPr>
        <w:pStyle w:val="22"/>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_Toc27921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 </w:t>
      </w:r>
      <w:r>
        <w:rPr>
          <w:rFonts w:hint="default" w:ascii="Times New Roman" w:hAnsi="Times New Roman" w:cs="Times New Roman"/>
          <w:highlight w:val="none"/>
        </w:rPr>
        <w:t>应急保障</w:t>
      </w:r>
      <w:r>
        <w:tab/>
      </w:r>
      <w:r>
        <w:fldChar w:fldCharType="begin"/>
      </w:r>
      <w:r>
        <w:instrText xml:space="preserve"> PAGEREF _Toc27921 \h </w:instrText>
      </w:r>
      <w:r>
        <w:fldChar w:fldCharType="separate"/>
      </w:r>
      <w:r>
        <w:t>26</w:t>
      </w:r>
      <w:r>
        <w:fldChar w:fldCharType="end"/>
      </w:r>
      <w:r>
        <w:rPr>
          <w:rFonts w:hint="default" w:ascii="Times New Roman" w:hAnsi="Times New Roman" w:eastAsia="黑体" w:cs="Times New Roman"/>
          <w:highlight w:val="none"/>
        </w:rPr>
        <w:fldChar w:fldCharType="end"/>
      </w:r>
    </w:p>
    <w:p w14:paraId="2777015F">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_Toc7900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4.1 </w:t>
      </w:r>
      <w:r>
        <w:rPr>
          <w:rFonts w:hint="default" w:ascii="Times New Roman" w:hAnsi="Times New Roman" w:cs="Times New Roman"/>
          <w:highlight w:val="none"/>
        </w:rPr>
        <w:t>人力保障</w:t>
      </w:r>
      <w:r>
        <w:tab/>
      </w:r>
      <w:r>
        <w:fldChar w:fldCharType="begin"/>
      </w:r>
      <w:r>
        <w:instrText xml:space="preserve"> PAGEREF _Toc7900 \h </w:instrText>
      </w:r>
      <w:r>
        <w:fldChar w:fldCharType="separate"/>
      </w:r>
      <w:r>
        <w:t>26</w:t>
      </w:r>
      <w:r>
        <w:fldChar w:fldCharType="end"/>
      </w:r>
      <w:r>
        <w:rPr>
          <w:rFonts w:hint="default" w:ascii="Times New Roman" w:hAnsi="Times New Roman" w:eastAsia="黑体" w:cs="Times New Roman"/>
          <w:highlight w:val="none"/>
        </w:rPr>
        <w:fldChar w:fldCharType="end"/>
      </w:r>
    </w:p>
    <w:p w14:paraId="29F3F6F8">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_Toc3731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4.2 </w:t>
      </w:r>
      <w:r>
        <w:rPr>
          <w:rFonts w:hint="default" w:ascii="Times New Roman" w:hAnsi="Times New Roman" w:cs="Times New Roman"/>
          <w:highlight w:val="none"/>
        </w:rPr>
        <w:t>资金保障</w:t>
      </w:r>
      <w:r>
        <w:tab/>
      </w:r>
      <w:r>
        <w:fldChar w:fldCharType="begin"/>
      </w:r>
      <w:r>
        <w:instrText xml:space="preserve"> PAGEREF _Toc3731 \h </w:instrText>
      </w:r>
      <w:r>
        <w:fldChar w:fldCharType="separate"/>
      </w:r>
      <w:r>
        <w:t>26</w:t>
      </w:r>
      <w:r>
        <w:fldChar w:fldCharType="end"/>
      </w:r>
      <w:r>
        <w:rPr>
          <w:rFonts w:hint="default" w:ascii="Times New Roman" w:hAnsi="Times New Roman" w:eastAsia="黑体" w:cs="Times New Roman"/>
          <w:highlight w:val="none"/>
        </w:rPr>
        <w:fldChar w:fldCharType="end"/>
      </w:r>
    </w:p>
    <w:p w14:paraId="7048FED6">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_Toc24857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4.3 </w:t>
      </w:r>
      <w:r>
        <w:rPr>
          <w:rFonts w:hint="default" w:ascii="Times New Roman" w:hAnsi="Times New Roman" w:cs="Times New Roman"/>
          <w:highlight w:val="none"/>
        </w:rPr>
        <w:t>物资装备保障</w:t>
      </w:r>
      <w:r>
        <w:tab/>
      </w:r>
      <w:r>
        <w:fldChar w:fldCharType="begin"/>
      </w:r>
      <w:r>
        <w:instrText xml:space="preserve"> PAGEREF _Toc24857 \h </w:instrText>
      </w:r>
      <w:r>
        <w:fldChar w:fldCharType="separate"/>
      </w:r>
      <w:r>
        <w:t>27</w:t>
      </w:r>
      <w:r>
        <w:fldChar w:fldCharType="end"/>
      </w:r>
      <w:r>
        <w:rPr>
          <w:rFonts w:hint="default" w:ascii="Times New Roman" w:hAnsi="Times New Roman" w:eastAsia="黑体" w:cs="Times New Roman"/>
          <w:highlight w:val="none"/>
        </w:rPr>
        <w:fldChar w:fldCharType="end"/>
      </w:r>
    </w:p>
    <w:p w14:paraId="34C0CEF4">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_Toc12729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4.4 </w:t>
      </w:r>
      <w:r>
        <w:rPr>
          <w:rFonts w:hint="default" w:ascii="Times New Roman" w:hAnsi="Times New Roman" w:cs="Times New Roman"/>
          <w:highlight w:val="none"/>
        </w:rPr>
        <w:t>医疗卫生保障</w:t>
      </w:r>
      <w:r>
        <w:tab/>
      </w:r>
      <w:r>
        <w:fldChar w:fldCharType="begin"/>
      </w:r>
      <w:r>
        <w:instrText xml:space="preserve"> PAGEREF _Toc12729 \h </w:instrText>
      </w:r>
      <w:r>
        <w:fldChar w:fldCharType="separate"/>
      </w:r>
      <w:r>
        <w:t>27</w:t>
      </w:r>
      <w:r>
        <w:fldChar w:fldCharType="end"/>
      </w:r>
      <w:r>
        <w:rPr>
          <w:rFonts w:hint="default" w:ascii="Times New Roman" w:hAnsi="Times New Roman" w:eastAsia="黑体" w:cs="Times New Roman"/>
          <w:highlight w:val="none"/>
        </w:rPr>
        <w:fldChar w:fldCharType="end"/>
      </w:r>
    </w:p>
    <w:p w14:paraId="79294B3E">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_Toc8110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4.5 </w:t>
      </w:r>
      <w:r>
        <w:rPr>
          <w:rFonts w:hint="default" w:ascii="Times New Roman" w:hAnsi="Times New Roman" w:cs="Times New Roman"/>
          <w:highlight w:val="none"/>
        </w:rPr>
        <w:t>交通运输保障</w:t>
      </w:r>
      <w:r>
        <w:tab/>
      </w:r>
      <w:r>
        <w:fldChar w:fldCharType="begin"/>
      </w:r>
      <w:r>
        <w:instrText xml:space="preserve"> PAGEREF _Toc8110 \h </w:instrText>
      </w:r>
      <w:r>
        <w:fldChar w:fldCharType="separate"/>
      </w:r>
      <w:r>
        <w:t>27</w:t>
      </w:r>
      <w:r>
        <w:fldChar w:fldCharType="end"/>
      </w:r>
      <w:r>
        <w:rPr>
          <w:rFonts w:hint="default" w:ascii="Times New Roman" w:hAnsi="Times New Roman" w:eastAsia="黑体" w:cs="Times New Roman"/>
          <w:highlight w:val="none"/>
        </w:rPr>
        <w:fldChar w:fldCharType="end"/>
      </w:r>
    </w:p>
    <w:p w14:paraId="29BFB9BF">
      <w:pPr>
        <w:pStyle w:val="25"/>
        <w:keepNext w:val="0"/>
        <w:keepLines w:val="0"/>
        <w:pageBreakBefore w:val="0"/>
        <w:widowControl w:val="0"/>
        <w:tabs>
          <w:tab w:val="right" w:leader="dot" w:pos="8788"/>
        </w:tabs>
        <w:kinsoku/>
        <w:wordWrap/>
        <w:overflowPunct/>
        <w:topLinePunct w:val="0"/>
        <w:autoSpaceDE w:val="0"/>
        <w:autoSpaceDN w:val="0"/>
        <w:bidi w:val="0"/>
        <w:adjustRightInd/>
        <w:snapToGrid/>
        <w:spacing w:line="460" w:lineRule="exact"/>
        <w:ind w:left="0" w:leftChars="0" w:firstLine="1120" w:firstLineChars="400"/>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_Toc19709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4.6 </w:t>
      </w:r>
      <w:r>
        <w:rPr>
          <w:rFonts w:hint="default" w:ascii="Times New Roman" w:hAnsi="Times New Roman" w:cs="Times New Roman"/>
          <w:highlight w:val="none"/>
        </w:rPr>
        <w:t>通信保障</w:t>
      </w:r>
      <w:r>
        <w:tab/>
      </w:r>
      <w:r>
        <w:fldChar w:fldCharType="begin"/>
      </w:r>
      <w:r>
        <w:instrText xml:space="preserve"> PAGEREF _Toc19709 \h </w:instrText>
      </w:r>
      <w:r>
        <w:fldChar w:fldCharType="separate"/>
      </w:r>
      <w:r>
        <w:t>28</w:t>
      </w:r>
      <w:r>
        <w:fldChar w:fldCharType="end"/>
      </w:r>
      <w:r>
        <w:rPr>
          <w:rFonts w:hint="default" w:ascii="Times New Roman" w:hAnsi="Times New Roman" w:eastAsia="黑体" w:cs="Times New Roman"/>
          <w:highlight w:val="none"/>
        </w:rPr>
        <w:fldChar w:fldCharType="end"/>
      </w:r>
    </w:p>
    <w:p w14:paraId="777C6D33">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_Toc23414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4.7 </w:t>
      </w:r>
      <w:r>
        <w:rPr>
          <w:rFonts w:hint="default" w:ascii="Times New Roman" w:hAnsi="Times New Roman" w:cs="Times New Roman"/>
          <w:highlight w:val="none"/>
        </w:rPr>
        <w:t>治安维护</w:t>
      </w:r>
      <w:r>
        <w:tab/>
      </w:r>
      <w:r>
        <w:fldChar w:fldCharType="begin"/>
      </w:r>
      <w:r>
        <w:instrText xml:space="preserve"> PAGEREF _Toc23414 \h </w:instrText>
      </w:r>
      <w:r>
        <w:fldChar w:fldCharType="separate"/>
      </w:r>
      <w:r>
        <w:t>28</w:t>
      </w:r>
      <w:r>
        <w:fldChar w:fldCharType="end"/>
      </w:r>
      <w:r>
        <w:rPr>
          <w:rFonts w:hint="default" w:ascii="Times New Roman" w:hAnsi="Times New Roman" w:eastAsia="黑体" w:cs="Times New Roman"/>
          <w:highlight w:val="none"/>
        </w:rPr>
        <w:fldChar w:fldCharType="end"/>
      </w:r>
    </w:p>
    <w:p w14:paraId="4C25B0C1">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_Toc14604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4.8 </w:t>
      </w:r>
      <w:r>
        <w:rPr>
          <w:rFonts w:hint="default" w:ascii="Times New Roman" w:hAnsi="Times New Roman" w:cs="Times New Roman"/>
          <w:highlight w:val="none"/>
        </w:rPr>
        <w:t>保险制度</w:t>
      </w:r>
      <w:r>
        <w:tab/>
      </w:r>
      <w:r>
        <w:fldChar w:fldCharType="begin"/>
      </w:r>
      <w:r>
        <w:instrText xml:space="preserve"> PAGEREF _Toc14604 \h </w:instrText>
      </w:r>
      <w:r>
        <w:fldChar w:fldCharType="separate"/>
      </w:r>
      <w:r>
        <w:t>28</w:t>
      </w:r>
      <w:r>
        <w:fldChar w:fldCharType="end"/>
      </w:r>
      <w:r>
        <w:rPr>
          <w:rFonts w:hint="default" w:ascii="Times New Roman" w:hAnsi="Times New Roman" w:eastAsia="黑体" w:cs="Times New Roman"/>
          <w:highlight w:val="none"/>
        </w:rPr>
        <w:fldChar w:fldCharType="end"/>
      </w:r>
    </w:p>
    <w:p w14:paraId="04CF0A17">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_Toc24761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4.9 </w:t>
      </w:r>
      <w:r>
        <w:rPr>
          <w:rFonts w:hint="default" w:ascii="Times New Roman" w:hAnsi="Times New Roman" w:cs="Times New Roman"/>
          <w:highlight w:val="none"/>
        </w:rPr>
        <w:t>技术保障</w:t>
      </w:r>
      <w:r>
        <w:tab/>
      </w:r>
      <w:r>
        <w:fldChar w:fldCharType="begin"/>
      </w:r>
      <w:r>
        <w:instrText xml:space="preserve"> PAGEREF _Toc24761 \h </w:instrText>
      </w:r>
      <w:r>
        <w:fldChar w:fldCharType="separate"/>
      </w:r>
      <w:r>
        <w:t>29</w:t>
      </w:r>
      <w:r>
        <w:fldChar w:fldCharType="end"/>
      </w:r>
      <w:r>
        <w:rPr>
          <w:rFonts w:hint="default" w:ascii="Times New Roman" w:hAnsi="Times New Roman" w:eastAsia="黑体" w:cs="Times New Roman"/>
          <w:highlight w:val="none"/>
        </w:rPr>
        <w:fldChar w:fldCharType="end"/>
      </w:r>
    </w:p>
    <w:p w14:paraId="6072D009">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_Toc22034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4.10 </w:t>
      </w:r>
      <w:r>
        <w:rPr>
          <w:rFonts w:hint="default" w:ascii="Times New Roman" w:hAnsi="Times New Roman" w:cs="Times New Roman"/>
          <w:highlight w:val="none"/>
        </w:rPr>
        <w:t>区域协作</w:t>
      </w:r>
      <w:r>
        <w:tab/>
      </w:r>
      <w:r>
        <w:fldChar w:fldCharType="begin"/>
      </w:r>
      <w:r>
        <w:instrText xml:space="preserve"> PAGEREF _Toc22034 \h </w:instrText>
      </w:r>
      <w:r>
        <w:fldChar w:fldCharType="separate"/>
      </w:r>
      <w:r>
        <w:t>29</w:t>
      </w:r>
      <w:r>
        <w:fldChar w:fldCharType="end"/>
      </w:r>
      <w:r>
        <w:rPr>
          <w:rFonts w:hint="default" w:ascii="Times New Roman" w:hAnsi="Times New Roman" w:eastAsia="黑体" w:cs="Times New Roman"/>
          <w:highlight w:val="none"/>
        </w:rPr>
        <w:fldChar w:fldCharType="end"/>
      </w:r>
    </w:p>
    <w:p w14:paraId="450108C8">
      <w:pPr>
        <w:pStyle w:val="22"/>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_Toc26580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 </w:t>
      </w:r>
      <w:r>
        <w:rPr>
          <w:rFonts w:hint="default" w:ascii="Times New Roman" w:hAnsi="Times New Roman" w:cs="Times New Roman"/>
          <w:highlight w:val="none"/>
        </w:rPr>
        <w:t>监督管理</w:t>
      </w:r>
      <w:r>
        <w:tab/>
      </w:r>
      <w:r>
        <w:fldChar w:fldCharType="begin"/>
      </w:r>
      <w:r>
        <w:instrText xml:space="preserve"> PAGEREF _Toc26580 \h </w:instrText>
      </w:r>
      <w:r>
        <w:fldChar w:fldCharType="separate"/>
      </w:r>
      <w:r>
        <w:t>29</w:t>
      </w:r>
      <w:r>
        <w:fldChar w:fldCharType="end"/>
      </w:r>
      <w:r>
        <w:rPr>
          <w:rFonts w:hint="default" w:ascii="Times New Roman" w:hAnsi="Times New Roman" w:eastAsia="黑体" w:cs="Times New Roman"/>
          <w:highlight w:val="none"/>
        </w:rPr>
        <w:fldChar w:fldCharType="end"/>
      </w:r>
    </w:p>
    <w:p w14:paraId="7351DBAE">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_Toc30808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5.1 </w:t>
      </w:r>
      <w:r>
        <w:rPr>
          <w:rFonts w:hint="default" w:ascii="Times New Roman" w:hAnsi="Times New Roman" w:cs="Times New Roman"/>
          <w:highlight w:val="none"/>
        </w:rPr>
        <w:t>应急演练</w:t>
      </w:r>
      <w:r>
        <w:tab/>
      </w:r>
      <w:r>
        <w:fldChar w:fldCharType="begin"/>
      </w:r>
      <w:r>
        <w:instrText xml:space="preserve"> PAGEREF _Toc30808 \h </w:instrText>
      </w:r>
      <w:r>
        <w:fldChar w:fldCharType="separate"/>
      </w:r>
      <w:r>
        <w:t>29</w:t>
      </w:r>
      <w:r>
        <w:fldChar w:fldCharType="end"/>
      </w:r>
      <w:r>
        <w:rPr>
          <w:rFonts w:hint="default" w:ascii="Times New Roman" w:hAnsi="Times New Roman" w:eastAsia="黑体" w:cs="Times New Roman"/>
          <w:highlight w:val="none"/>
        </w:rPr>
        <w:fldChar w:fldCharType="end"/>
      </w:r>
    </w:p>
    <w:p w14:paraId="0E0C577F">
      <w:pPr>
        <w:pStyle w:val="25"/>
        <w:keepNext w:val="0"/>
        <w:keepLines w:val="0"/>
        <w:pageBreakBefore w:val="0"/>
        <w:widowControl w:val="0"/>
        <w:tabs>
          <w:tab w:val="right" w:leader="dot" w:pos="8788"/>
        </w:tabs>
        <w:kinsoku/>
        <w:wordWrap/>
        <w:overflowPunct/>
        <w:topLinePunct w:val="0"/>
        <w:autoSpaceDE w:val="0"/>
        <w:autoSpaceDN w:val="0"/>
        <w:bidi w:val="0"/>
        <w:adjustRightInd/>
        <w:snapToGrid/>
        <w:spacing w:line="46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_Toc25571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5.2 </w:t>
      </w:r>
      <w:r>
        <w:rPr>
          <w:rFonts w:hint="default" w:ascii="Times New Roman" w:hAnsi="Times New Roman" w:cs="Times New Roman"/>
          <w:highlight w:val="none"/>
        </w:rPr>
        <w:t>宣教培训</w:t>
      </w:r>
      <w:r>
        <w:tab/>
      </w:r>
      <w:r>
        <w:fldChar w:fldCharType="begin"/>
      </w:r>
      <w:r>
        <w:instrText xml:space="preserve"> PAGEREF _Toc25571 \h </w:instrText>
      </w:r>
      <w:r>
        <w:fldChar w:fldCharType="separate"/>
      </w:r>
      <w:r>
        <w:t>30</w:t>
      </w:r>
      <w:r>
        <w:fldChar w:fldCharType="end"/>
      </w:r>
      <w:r>
        <w:rPr>
          <w:rFonts w:hint="default" w:ascii="Times New Roman" w:hAnsi="Times New Roman" w:eastAsia="黑体" w:cs="Times New Roman"/>
          <w:highlight w:val="none"/>
        </w:rPr>
        <w:fldChar w:fldCharType="end"/>
      </w:r>
    </w:p>
    <w:p w14:paraId="6889E5CF">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_Toc16050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5.3 </w:t>
      </w:r>
      <w:r>
        <w:rPr>
          <w:rFonts w:hint="default" w:ascii="Times New Roman" w:hAnsi="Times New Roman" w:cs="Times New Roman"/>
          <w:highlight w:val="none"/>
        </w:rPr>
        <w:t>监督考核</w:t>
      </w:r>
      <w:r>
        <w:tab/>
      </w:r>
      <w:r>
        <w:fldChar w:fldCharType="begin"/>
      </w:r>
      <w:r>
        <w:instrText xml:space="preserve"> PAGEREF _Toc16050 \h </w:instrText>
      </w:r>
      <w:r>
        <w:fldChar w:fldCharType="separate"/>
      </w:r>
      <w:r>
        <w:t>30</w:t>
      </w:r>
      <w:r>
        <w:fldChar w:fldCharType="end"/>
      </w:r>
      <w:r>
        <w:rPr>
          <w:rFonts w:hint="default" w:ascii="Times New Roman" w:hAnsi="Times New Roman" w:eastAsia="黑体" w:cs="Times New Roman"/>
          <w:highlight w:val="none"/>
        </w:rPr>
        <w:fldChar w:fldCharType="end"/>
      </w:r>
    </w:p>
    <w:p w14:paraId="7220EAC6">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_Toc14308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5.4 </w:t>
      </w:r>
      <w:r>
        <w:rPr>
          <w:rFonts w:hint="default" w:ascii="Times New Roman" w:hAnsi="Times New Roman" w:cs="Times New Roman"/>
          <w:highlight w:val="none"/>
        </w:rPr>
        <w:t>责任追究</w:t>
      </w:r>
      <w:r>
        <w:tab/>
      </w:r>
      <w:r>
        <w:fldChar w:fldCharType="begin"/>
      </w:r>
      <w:r>
        <w:instrText xml:space="preserve"> PAGEREF _Toc14308 \h </w:instrText>
      </w:r>
      <w:r>
        <w:fldChar w:fldCharType="separate"/>
      </w:r>
      <w:r>
        <w:t>31</w:t>
      </w:r>
      <w:r>
        <w:fldChar w:fldCharType="end"/>
      </w:r>
      <w:r>
        <w:rPr>
          <w:rFonts w:hint="default" w:ascii="Times New Roman" w:hAnsi="Times New Roman" w:eastAsia="黑体" w:cs="Times New Roman"/>
          <w:highlight w:val="none"/>
        </w:rPr>
        <w:fldChar w:fldCharType="end"/>
      </w:r>
    </w:p>
    <w:p w14:paraId="675DD2D2">
      <w:pPr>
        <w:pStyle w:val="22"/>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_Toc18843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 </w:t>
      </w:r>
      <w:r>
        <w:rPr>
          <w:rFonts w:hint="default" w:ascii="Times New Roman" w:hAnsi="Times New Roman" w:cs="Times New Roman"/>
          <w:highlight w:val="none"/>
        </w:rPr>
        <w:t>附则</w:t>
      </w:r>
      <w:r>
        <w:tab/>
      </w:r>
      <w:r>
        <w:fldChar w:fldCharType="begin"/>
      </w:r>
      <w:r>
        <w:instrText xml:space="preserve"> PAGEREF _Toc18843 \h </w:instrText>
      </w:r>
      <w:r>
        <w:fldChar w:fldCharType="separate"/>
      </w:r>
      <w:r>
        <w:t>32</w:t>
      </w:r>
      <w:r>
        <w:fldChar w:fldCharType="end"/>
      </w:r>
      <w:r>
        <w:rPr>
          <w:rFonts w:hint="default" w:ascii="Times New Roman" w:hAnsi="Times New Roman" w:eastAsia="黑体" w:cs="Times New Roman"/>
          <w:highlight w:val="none"/>
        </w:rPr>
        <w:fldChar w:fldCharType="end"/>
      </w:r>
    </w:p>
    <w:p w14:paraId="199DAE40">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_Toc3583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6.1 </w:t>
      </w:r>
      <w:r>
        <w:rPr>
          <w:rFonts w:hint="default" w:ascii="Times New Roman" w:hAnsi="Times New Roman" w:cs="Times New Roman"/>
          <w:highlight w:val="none"/>
        </w:rPr>
        <w:t>术语解释</w:t>
      </w:r>
      <w:r>
        <w:tab/>
      </w:r>
      <w:r>
        <w:fldChar w:fldCharType="begin"/>
      </w:r>
      <w:r>
        <w:instrText xml:space="preserve"> PAGEREF _Toc3583 \h </w:instrText>
      </w:r>
      <w:r>
        <w:fldChar w:fldCharType="separate"/>
      </w:r>
      <w:r>
        <w:t>32</w:t>
      </w:r>
      <w:r>
        <w:fldChar w:fldCharType="end"/>
      </w:r>
      <w:r>
        <w:rPr>
          <w:rFonts w:hint="default" w:ascii="Times New Roman" w:hAnsi="Times New Roman" w:eastAsia="黑体" w:cs="Times New Roman"/>
          <w:highlight w:val="none"/>
        </w:rPr>
        <w:fldChar w:fldCharType="end"/>
      </w:r>
    </w:p>
    <w:p w14:paraId="44F73C2B">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_Toc16366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6.2 </w:t>
      </w:r>
      <w:r>
        <w:rPr>
          <w:rFonts w:hint="default" w:ascii="Times New Roman" w:hAnsi="Times New Roman" w:cs="Times New Roman"/>
          <w:highlight w:val="none"/>
        </w:rPr>
        <w:t>预案修订</w:t>
      </w:r>
      <w:r>
        <w:tab/>
      </w:r>
      <w:r>
        <w:fldChar w:fldCharType="begin"/>
      </w:r>
      <w:r>
        <w:instrText xml:space="preserve"> PAGEREF _Toc16366 \h </w:instrText>
      </w:r>
      <w:r>
        <w:fldChar w:fldCharType="separate"/>
      </w:r>
      <w:r>
        <w:t>33</w:t>
      </w:r>
      <w:r>
        <w:fldChar w:fldCharType="end"/>
      </w:r>
      <w:r>
        <w:rPr>
          <w:rFonts w:hint="default" w:ascii="Times New Roman" w:hAnsi="Times New Roman" w:eastAsia="黑体" w:cs="Times New Roman"/>
          <w:highlight w:val="none"/>
        </w:rPr>
        <w:fldChar w:fldCharType="end"/>
      </w:r>
    </w:p>
    <w:p w14:paraId="4F9F974C">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_Toc10688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6.3 </w:t>
      </w:r>
      <w:r>
        <w:rPr>
          <w:rFonts w:hint="default" w:ascii="Times New Roman" w:hAnsi="Times New Roman" w:cs="Times New Roman"/>
          <w:highlight w:val="none"/>
        </w:rPr>
        <w:t>预案解释部门</w:t>
      </w:r>
      <w:r>
        <w:tab/>
      </w:r>
      <w:r>
        <w:fldChar w:fldCharType="begin"/>
      </w:r>
      <w:r>
        <w:instrText xml:space="preserve"> PAGEREF _Toc10688 \h </w:instrText>
      </w:r>
      <w:r>
        <w:fldChar w:fldCharType="separate"/>
      </w:r>
      <w:r>
        <w:t>33</w:t>
      </w:r>
      <w:r>
        <w:fldChar w:fldCharType="end"/>
      </w:r>
      <w:r>
        <w:rPr>
          <w:rFonts w:hint="default" w:ascii="Times New Roman" w:hAnsi="Times New Roman" w:eastAsia="黑体" w:cs="Times New Roman"/>
          <w:highlight w:val="none"/>
        </w:rPr>
        <w:fldChar w:fldCharType="end"/>
      </w:r>
    </w:p>
    <w:p w14:paraId="684A2972">
      <w:pPr>
        <w:pStyle w:val="25"/>
        <w:tabs>
          <w:tab w:val="right" w:leader="dot" w:pos="8788"/>
        </w:tabs>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_Toc13976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6.4 </w:t>
      </w:r>
      <w:r>
        <w:rPr>
          <w:rFonts w:hint="default" w:ascii="Times New Roman" w:hAnsi="Times New Roman" w:cs="Times New Roman"/>
          <w:highlight w:val="none"/>
        </w:rPr>
        <w:t>预案实施时间</w:t>
      </w:r>
      <w:r>
        <w:tab/>
      </w:r>
      <w:r>
        <w:fldChar w:fldCharType="begin"/>
      </w:r>
      <w:r>
        <w:instrText xml:space="preserve"> PAGEREF _Toc13976 \h </w:instrText>
      </w:r>
      <w:r>
        <w:fldChar w:fldCharType="separate"/>
      </w:r>
      <w:r>
        <w:t>33</w:t>
      </w:r>
      <w:r>
        <w:fldChar w:fldCharType="end"/>
      </w:r>
      <w:r>
        <w:rPr>
          <w:rFonts w:hint="default" w:ascii="Times New Roman" w:hAnsi="Times New Roman" w:eastAsia="黑体" w:cs="Times New Roman"/>
          <w:highlight w:val="none"/>
        </w:rPr>
        <w:fldChar w:fldCharType="end"/>
      </w:r>
    </w:p>
    <w:p w14:paraId="1EE1DFF9">
      <w:pPr>
        <w:keepNext w:val="0"/>
        <w:keepLines w:val="0"/>
        <w:pageBreakBefore w:val="0"/>
        <w:widowControl w:val="0"/>
        <w:shd w:val="clear"/>
        <w:kinsoku/>
        <w:wordWrap/>
        <w:overflowPunct/>
        <w:topLinePunct w:val="0"/>
        <w:autoSpaceDE w:val="0"/>
        <w:autoSpaceDN w:val="0"/>
        <w:bidi w:val="0"/>
        <w:adjustRightInd/>
        <w:snapToGrid/>
        <w:spacing w:line="460" w:lineRule="exact"/>
        <w:ind w:firstLine="0" w:firstLineChars="0"/>
        <w:textAlignment w:val="auto"/>
        <w:rPr>
          <w:rFonts w:hint="default" w:ascii="Times New Roman" w:hAnsi="Times New Roman" w:cs="Times New Roman"/>
          <w:b/>
          <w:color w:val="000000" w:themeColor="text1"/>
          <w:szCs w:val="24"/>
          <w:highlight w:val="none"/>
          <w:lang w:eastAsia="zh-CN"/>
          <w14:textFill>
            <w14:solidFill>
              <w14:schemeClr w14:val="tx1"/>
            </w14:solidFill>
          </w14:textFill>
        </w:rPr>
      </w:pPr>
      <w:r>
        <w:rPr>
          <w:rFonts w:hint="default" w:ascii="Times New Roman" w:hAnsi="Times New Roman" w:eastAsia="黑体" w:cs="Times New Roman"/>
          <w:highlight w:val="none"/>
        </w:rPr>
        <w:fldChar w:fldCharType="end"/>
      </w:r>
    </w:p>
    <w:p w14:paraId="08D11D30">
      <w:pPr>
        <w:pStyle w:val="15"/>
        <w:shd w:val="clear"/>
        <w:ind w:firstLine="560"/>
        <w:rPr>
          <w:rFonts w:hint="default" w:ascii="Times New Roman" w:hAnsi="Times New Roman" w:cs="Times New Roman"/>
          <w:highlight w:val="none"/>
          <w:lang w:eastAsia="zh-CN"/>
        </w:rPr>
      </w:pPr>
    </w:p>
    <w:p w14:paraId="3260584F">
      <w:pPr>
        <w:shd w:val="clear"/>
        <w:ind w:firstLine="560"/>
        <w:rPr>
          <w:rFonts w:hint="default" w:ascii="Times New Roman" w:hAnsi="Times New Roman" w:cs="Times New Roman"/>
          <w:color w:val="000000" w:themeColor="text1"/>
          <w:highlight w:val="none"/>
          <w:lang w:eastAsia="zh-CN"/>
          <w14:textFill>
            <w14:solidFill>
              <w14:schemeClr w14:val="tx1"/>
            </w14:solidFill>
          </w14:textFill>
        </w:rPr>
        <w:sectPr>
          <w:headerReference r:id="rId11" w:type="default"/>
          <w:footerReference r:id="rId12" w:type="default"/>
          <w:pgSz w:w="11906" w:h="16838"/>
          <w:pgMar w:top="1134" w:right="1417" w:bottom="1134" w:left="1701" w:header="680" w:footer="680" w:gutter="0"/>
          <w:pgNumType w:fmt="upperRoman" w:start="1"/>
          <w:cols w:space="425" w:num="1"/>
          <w:docGrid w:type="lines" w:linePitch="312" w:charSpace="0"/>
        </w:sectPr>
      </w:pPr>
    </w:p>
    <w:p w14:paraId="390DA58C">
      <w:pPr>
        <w:pStyle w:val="3"/>
        <w:shd w:val="clear"/>
        <w:rPr>
          <w:rFonts w:hint="default" w:ascii="Times New Roman" w:hAnsi="Times New Roman" w:cs="Times New Roman"/>
          <w:highlight w:val="none"/>
        </w:rPr>
      </w:pPr>
      <w:bookmarkStart w:id="3" w:name="_Toc23826"/>
      <w:bookmarkStart w:id="4" w:name="_Toc26743"/>
      <w:bookmarkStart w:id="5" w:name="_Toc31533"/>
      <w:bookmarkStart w:id="6" w:name="_Toc23425"/>
      <w:r>
        <w:rPr>
          <w:rFonts w:hint="default" w:ascii="Times New Roman" w:hAnsi="Times New Roman" w:cs="Times New Roman"/>
          <w:highlight w:val="none"/>
        </w:rPr>
        <w:t>总则</w:t>
      </w:r>
      <w:bookmarkEnd w:id="3"/>
      <w:bookmarkEnd w:id="4"/>
      <w:bookmarkEnd w:id="5"/>
      <w:bookmarkEnd w:id="6"/>
    </w:p>
    <w:p w14:paraId="7BBF15B2">
      <w:pPr>
        <w:pStyle w:val="4"/>
        <w:shd w:val="clear"/>
        <w:rPr>
          <w:rFonts w:hint="default" w:ascii="Times New Roman" w:hAnsi="Times New Roman" w:cs="Times New Roman"/>
          <w:highlight w:val="none"/>
        </w:rPr>
      </w:pPr>
      <w:bookmarkStart w:id="7" w:name="_Toc3106"/>
      <w:bookmarkStart w:id="8" w:name="_Toc29653"/>
      <w:bookmarkStart w:id="9" w:name="_Toc9178"/>
      <w:bookmarkStart w:id="10" w:name="_Toc27527"/>
      <w:r>
        <w:rPr>
          <w:rFonts w:hint="default" w:ascii="Times New Roman" w:hAnsi="Times New Roman" w:cs="Times New Roman"/>
          <w:highlight w:val="none"/>
        </w:rPr>
        <w:t>编制目的</w:t>
      </w:r>
      <w:bookmarkEnd w:id="7"/>
      <w:bookmarkEnd w:id="8"/>
      <w:bookmarkEnd w:id="9"/>
      <w:bookmarkEnd w:id="10"/>
    </w:p>
    <w:p w14:paraId="46525C1D">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建立健全惠州大亚湾经济技术开发区（以下简称“大亚湾</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开发</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区”）突发环境事件应对工作机制，提高突发环境事件预防、预警和应急处置的能力，科学有序高效应对突发环境事件，控制、减轻和消除突发环境事件影响及其可能造成的危害，保障公众生命健康、财产安全、环境安全，促进经济社会全面、协调、可持续发展。</w:t>
      </w:r>
    </w:p>
    <w:p w14:paraId="06165207">
      <w:pPr>
        <w:pStyle w:val="4"/>
        <w:shd w:val="clear"/>
        <w:rPr>
          <w:rFonts w:hint="default" w:ascii="Times New Roman" w:hAnsi="Times New Roman" w:cs="Times New Roman"/>
          <w:highlight w:val="none"/>
        </w:rPr>
      </w:pPr>
      <w:bookmarkStart w:id="11" w:name="_Toc2300"/>
      <w:bookmarkStart w:id="12" w:name="_Toc1866"/>
      <w:bookmarkStart w:id="13" w:name="_Toc16161"/>
      <w:bookmarkStart w:id="14" w:name="_Toc12654"/>
      <w:r>
        <w:rPr>
          <w:rFonts w:hint="default" w:ascii="Times New Roman" w:hAnsi="Times New Roman" w:cs="Times New Roman"/>
          <w:highlight w:val="none"/>
        </w:rPr>
        <w:t>编制依据</w:t>
      </w:r>
      <w:bookmarkEnd w:id="11"/>
      <w:bookmarkEnd w:id="12"/>
      <w:bookmarkEnd w:id="13"/>
      <w:bookmarkEnd w:id="14"/>
    </w:p>
    <w:p w14:paraId="11FD16E7">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依据《中华人民共和国环境保护法》《中华人民共和国突发事件应对法》《国家突发环境事件应急预案》《广东省突发事件应对条例》《突发事件应急</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预案</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管理办法》《突发环境事件信息报告办法》《广东省突发事件预警信息发布管理办法》《广东省突发环境事件应急预案》《惠州市突发公共事件总体应急预案》《惠州市突发环境事件应急预案》</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《惠州市政府级应急预案管理制度》</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等法律法规及有关规定，制定本预案。</w:t>
      </w:r>
    </w:p>
    <w:p w14:paraId="3B15638D">
      <w:pPr>
        <w:pStyle w:val="4"/>
        <w:shd w:val="clear"/>
        <w:rPr>
          <w:rFonts w:hint="default" w:ascii="Times New Roman" w:hAnsi="Times New Roman" w:cs="Times New Roman"/>
          <w:highlight w:val="none"/>
        </w:rPr>
      </w:pPr>
      <w:bookmarkStart w:id="15" w:name="_Toc20502"/>
      <w:bookmarkStart w:id="16" w:name="_Toc20738"/>
      <w:bookmarkStart w:id="17" w:name="_Toc18661"/>
      <w:bookmarkStart w:id="18" w:name="_Toc20409"/>
      <w:r>
        <w:rPr>
          <w:rFonts w:hint="default" w:ascii="Times New Roman" w:hAnsi="Times New Roman" w:cs="Times New Roman"/>
          <w:highlight w:val="none"/>
        </w:rPr>
        <w:t>事</w:t>
      </w:r>
      <w:r>
        <w:rPr>
          <w:rFonts w:hint="eastAsia" w:cs="Times New Roman"/>
          <w:highlight w:val="none"/>
          <w:lang w:eastAsia="zh-CN"/>
        </w:rPr>
        <w:t>件</w:t>
      </w:r>
      <w:r>
        <w:rPr>
          <w:rFonts w:hint="default" w:ascii="Times New Roman" w:hAnsi="Times New Roman" w:cs="Times New Roman"/>
          <w:highlight w:val="none"/>
        </w:rPr>
        <w:t>分级</w:t>
      </w:r>
      <w:bookmarkEnd w:id="15"/>
      <w:bookmarkEnd w:id="16"/>
      <w:bookmarkEnd w:id="17"/>
      <w:bookmarkEnd w:id="18"/>
    </w:p>
    <w:p w14:paraId="0E3F3079">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按照事件严重程度，突发环境事件分为特别重大、重大、较大和一般四级。突发环境事件分级标准见附件1。</w:t>
      </w:r>
    </w:p>
    <w:p w14:paraId="6271AF2D">
      <w:pPr>
        <w:pStyle w:val="4"/>
        <w:shd w:val="clear"/>
        <w:rPr>
          <w:rFonts w:hint="default" w:ascii="Times New Roman" w:hAnsi="Times New Roman" w:cs="Times New Roman"/>
          <w:highlight w:val="none"/>
        </w:rPr>
      </w:pPr>
      <w:bookmarkStart w:id="19" w:name="_Toc30112"/>
      <w:bookmarkStart w:id="20" w:name="_Toc23473"/>
      <w:bookmarkStart w:id="21" w:name="_Toc15542"/>
      <w:bookmarkStart w:id="22" w:name="_Toc3853"/>
      <w:r>
        <w:rPr>
          <w:rFonts w:hint="default" w:ascii="Times New Roman" w:hAnsi="Times New Roman" w:cs="Times New Roman"/>
          <w:highlight w:val="none"/>
        </w:rPr>
        <w:t>适用范围</w:t>
      </w:r>
      <w:bookmarkEnd w:id="19"/>
      <w:bookmarkEnd w:id="20"/>
      <w:bookmarkEnd w:id="21"/>
      <w:bookmarkEnd w:id="22"/>
    </w:p>
    <w:p w14:paraId="0AC36099">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本预案适用于我区行政区域内突发环境事件应对工作。</w:t>
      </w:r>
    </w:p>
    <w:p w14:paraId="3ECDAEFE">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本预案指导大亚湾</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开发</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区突发环境事件应对工作。核电事故、核技术应用中的辐射事故、海上溢油事件、船舶污染事件、赤潮灾害事件、生物物种安全事件以及重污染天气的应对工作，适用相应应急预案的规定。</w:t>
      </w:r>
    </w:p>
    <w:p w14:paraId="0B683064">
      <w:pPr>
        <w:pStyle w:val="4"/>
        <w:shd w:val="clear"/>
        <w:rPr>
          <w:rFonts w:hint="default" w:ascii="Times New Roman" w:hAnsi="Times New Roman" w:cs="Times New Roman"/>
          <w:highlight w:val="none"/>
        </w:rPr>
      </w:pPr>
      <w:bookmarkStart w:id="23" w:name="_Toc10484"/>
      <w:bookmarkStart w:id="24" w:name="_Toc5780"/>
      <w:bookmarkStart w:id="25" w:name="_Toc2661"/>
      <w:bookmarkStart w:id="26" w:name="_Toc23821"/>
      <w:r>
        <w:rPr>
          <w:rFonts w:hint="default" w:ascii="Times New Roman" w:hAnsi="Times New Roman" w:cs="Times New Roman"/>
          <w:highlight w:val="none"/>
        </w:rPr>
        <w:t>工作原则</w:t>
      </w:r>
      <w:bookmarkEnd w:id="23"/>
      <w:bookmarkEnd w:id="24"/>
      <w:bookmarkEnd w:id="25"/>
      <w:bookmarkEnd w:id="26"/>
    </w:p>
    <w:p w14:paraId="699FEFBF">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突发环境事件应对工作坚持统一领导、分级负责，人民至上、生命至上，属地为主、协调联动，快速反应、科学处置，资源共享、保障有力的原则。突发环境事件发生后，辖区各部门和有关单位立即按照职责分工及相关应急预案开展应急处置工作。</w:t>
      </w:r>
    </w:p>
    <w:p w14:paraId="143A8D4D">
      <w:pPr>
        <w:pStyle w:val="4"/>
        <w:shd w:val="clear"/>
        <w:rPr>
          <w:rFonts w:hint="default" w:ascii="Times New Roman" w:hAnsi="Times New Roman" w:cs="Times New Roman"/>
          <w:highlight w:val="none"/>
        </w:rPr>
      </w:pPr>
      <w:bookmarkStart w:id="27" w:name="_Toc2924"/>
      <w:bookmarkStart w:id="28" w:name="_Toc27888"/>
      <w:bookmarkStart w:id="29" w:name="_Toc23437"/>
      <w:bookmarkStart w:id="30" w:name="_Toc32599"/>
      <w:r>
        <w:rPr>
          <w:rFonts w:hint="default" w:ascii="Times New Roman" w:hAnsi="Times New Roman" w:cs="Times New Roman"/>
          <w:highlight w:val="none"/>
        </w:rPr>
        <w:t>预案体系</w:t>
      </w:r>
      <w:bookmarkEnd w:id="27"/>
      <w:bookmarkEnd w:id="28"/>
      <w:bookmarkEnd w:id="29"/>
      <w:bookmarkEnd w:id="30"/>
    </w:p>
    <w:p w14:paraId="045D6B31">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（1）区突发事件总体应急预案。全区应急预案体系的总纲。</w:t>
      </w:r>
    </w:p>
    <w:p w14:paraId="5A008F33">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（2）惠州市突发环境事件应急预案。本预案的上级预案，发生较大、重大、特别重大突发环境事件时，遵循上级预案指挥。</w:t>
      </w:r>
    </w:p>
    <w:p w14:paraId="4A4095EF">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（3）区突发环境事件应急预案。根据惠州市突发环境事件应急预案、区总体应急预案，结合区管委会相关部门职责，为应对我区突发环境事件</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制定的</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专项应急预案。</w:t>
      </w:r>
    </w:p>
    <w:p w14:paraId="633C6AA6">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（4）区生态环境</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分</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局突发环境事件应急预案。区生态环境</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分</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局根据区总体应急预案、区突发环境事件应急预案和区生态环境</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分</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局职责，为应对突发环境事件</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制定的</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应急预案。</w:t>
      </w:r>
    </w:p>
    <w:p w14:paraId="1DC1DF76">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（5）其他区突发环境事件专项应急预案（饮用水水源地、石化产业园区等）。根据区突发环境事件应急预案，结合区域环境特征、污染源状况及相关部门职责，为应对辖区特征突发环境事件</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制定的</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专项应急预案。</w:t>
      </w:r>
    </w:p>
    <w:p w14:paraId="4A588B78">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（6）企业突发环境事件应急预案。企事业单位根据有关法律法规</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制定的</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环境应急预案。</w:t>
      </w:r>
    </w:p>
    <w:p w14:paraId="72A6B346">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应急预案衔接体系图如下图所示：</w:t>
      </w:r>
    </w:p>
    <w:p w14:paraId="1BDDAD34">
      <w:pPr>
        <w:keepNext w:val="0"/>
        <w:keepLines w:val="0"/>
        <w:pageBreakBefore w:val="0"/>
        <w:widowControl/>
        <w:shd w:val="clear"/>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cs="Times New Roman"/>
          <w:color w:val="000000" w:themeColor="text1"/>
          <w:szCs w:val="28"/>
          <w:highlight w:val="none"/>
          <w:lang w:eastAsia="zh-CN" w:bidi="ar"/>
          <w14:textFill>
            <w14:solidFill>
              <w14:schemeClr w14:val="tx1"/>
            </w14:solidFill>
          </w14:textFill>
        </w:rPr>
      </w:pPr>
      <w:r>
        <w:rPr>
          <w:rFonts w:hint="default" w:ascii="Times New Roman" w:hAnsi="Times New Roman" w:cs="Times New Roman"/>
          <w:color w:val="000000"/>
          <w:szCs w:val="28"/>
          <w:highlight w:val="none"/>
          <w:lang w:eastAsia="zh-CN" w:bidi="ar"/>
        </w:rPr>
        <w:drawing>
          <wp:inline distT="0" distB="0" distL="114300" distR="114300">
            <wp:extent cx="5422265" cy="2878455"/>
            <wp:effectExtent l="0" t="0" r="6985" b="17145"/>
            <wp:docPr id="1" name="图片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1"/>
                    <pic:cNvPicPr>
                      <a:picLocks noChangeAspect="1"/>
                    </pic:cNvPicPr>
                  </pic:nvPicPr>
                  <pic:blipFill>
                    <a:blip r:embed="rId17"/>
                    <a:stretch>
                      <a:fillRect/>
                    </a:stretch>
                  </pic:blipFill>
                  <pic:spPr>
                    <a:xfrm>
                      <a:off x="0" y="0"/>
                      <a:ext cx="5422265" cy="2878455"/>
                    </a:xfrm>
                    <a:prstGeom prst="rect">
                      <a:avLst/>
                    </a:prstGeom>
                    <a:noFill/>
                    <a:ln>
                      <a:noFill/>
                    </a:ln>
                  </pic:spPr>
                </pic:pic>
              </a:graphicData>
            </a:graphic>
          </wp:inline>
        </w:drawing>
      </w:r>
    </w:p>
    <w:p w14:paraId="15246F00">
      <w:pPr>
        <w:pStyle w:val="13"/>
        <w:shd w:val="clear"/>
        <w:ind w:firstLine="0" w:firstLineChars="0"/>
        <w:jc w:val="center"/>
        <w:rPr>
          <w:rFonts w:hint="default" w:ascii="Times New Roman" w:hAnsi="Times New Roman" w:eastAsia="仿宋" w:cs="Times New Roman"/>
          <w:b/>
          <w:bCs/>
          <w:color w:val="000000" w:themeColor="text1"/>
          <w:sz w:val="24"/>
          <w:szCs w:val="24"/>
          <w:highlight w:val="none"/>
          <w:lang w:eastAsia="zh-CN" w:bidi="ar"/>
          <w14:textFill>
            <w14:solidFill>
              <w14:schemeClr w14:val="tx1"/>
            </w14:solidFill>
          </w14:textFill>
        </w:rPr>
      </w:pPr>
      <w:r>
        <w:rPr>
          <w:rFonts w:hint="default" w:ascii="Times New Roman" w:hAnsi="Times New Roman" w:eastAsia="仿宋" w:cs="Times New Roman"/>
          <w:b/>
          <w:bCs/>
          <w:sz w:val="24"/>
          <w:szCs w:val="24"/>
          <w:highlight w:val="none"/>
          <w:lang w:eastAsia="zh-CN"/>
        </w:rPr>
        <w:t>图</w:t>
      </w:r>
      <w:r>
        <w:rPr>
          <w:rFonts w:hint="default" w:ascii="Times New Roman" w:hAnsi="Times New Roman" w:eastAsia="仿宋" w:cs="Times New Roman"/>
          <w:b/>
          <w:bCs/>
          <w:sz w:val="24"/>
          <w:szCs w:val="24"/>
          <w:highlight w:val="none"/>
        </w:rPr>
        <w:fldChar w:fldCharType="begin"/>
      </w:r>
      <w:r>
        <w:rPr>
          <w:rFonts w:hint="default" w:ascii="Times New Roman" w:hAnsi="Times New Roman" w:eastAsia="仿宋" w:cs="Times New Roman"/>
          <w:b/>
          <w:bCs/>
          <w:sz w:val="24"/>
          <w:szCs w:val="24"/>
          <w:highlight w:val="none"/>
          <w:lang w:eastAsia="zh-CN"/>
        </w:rPr>
        <w:instrText xml:space="preserve"> SEQ 图 \* ARABIC </w:instrText>
      </w:r>
      <w:r>
        <w:rPr>
          <w:rFonts w:hint="default" w:ascii="Times New Roman" w:hAnsi="Times New Roman" w:eastAsia="仿宋" w:cs="Times New Roman"/>
          <w:b/>
          <w:bCs/>
          <w:sz w:val="24"/>
          <w:szCs w:val="24"/>
          <w:highlight w:val="none"/>
        </w:rPr>
        <w:fldChar w:fldCharType="separate"/>
      </w:r>
      <w:r>
        <w:rPr>
          <w:rFonts w:hint="default" w:ascii="Times New Roman" w:hAnsi="Times New Roman" w:eastAsia="仿宋" w:cs="Times New Roman"/>
          <w:b/>
          <w:bCs/>
          <w:sz w:val="24"/>
          <w:szCs w:val="24"/>
          <w:highlight w:val="none"/>
          <w:lang w:eastAsia="zh-CN"/>
        </w:rPr>
        <w:t>1</w:t>
      </w:r>
      <w:r>
        <w:rPr>
          <w:rFonts w:hint="default" w:ascii="Times New Roman" w:hAnsi="Times New Roman" w:eastAsia="仿宋" w:cs="Times New Roman"/>
          <w:b/>
          <w:bCs/>
          <w:sz w:val="24"/>
          <w:szCs w:val="24"/>
          <w:highlight w:val="none"/>
        </w:rPr>
        <w:fldChar w:fldCharType="end"/>
      </w:r>
      <w:r>
        <w:rPr>
          <w:rFonts w:hint="default" w:ascii="Times New Roman" w:hAnsi="Times New Roman" w:eastAsia="仿宋" w:cs="Times New Roman"/>
          <w:b/>
          <w:bCs/>
          <w:sz w:val="24"/>
          <w:szCs w:val="24"/>
          <w:highlight w:val="none"/>
          <w:lang w:eastAsia="zh-CN"/>
        </w:rPr>
        <w:t xml:space="preserve"> </w:t>
      </w:r>
      <w:r>
        <w:rPr>
          <w:rFonts w:hint="default" w:ascii="Times New Roman" w:hAnsi="Times New Roman" w:eastAsia="仿宋" w:cs="Times New Roman"/>
          <w:b/>
          <w:bCs/>
          <w:color w:val="000000" w:themeColor="text1"/>
          <w:sz w:val="24"/>
          <w:szCs w:val="24"/>
          <w:highlight w:val="none"/>
          <w:lang w:eastAsia="zh-CN" w:bidi="ar"/>
          <w14:textFill>
            <w14:solidFill>
              <w14:schemeClr w14:val="tx1"/>
            </w14:solidFill>
          </w14:textFill>
        </w:rPr>
        <w:t>大亚湾</w:t>
      </w:r>
      <w:r>
        <w:rPr>
          <w:rFonts w:hint="eastAsia" w:ascii="Times New Roman" w:hAnsi="Times New Roman" w:eastAsia="仿宋" w:cs="Times New Roman"/>
          <w:b/>
          <w:bCs/>
          <w:color w:val="000000" w:themeColor="text1"/>
          <w:sz w:val="24"/>
          <w:szCs w:val="24"/>
          <w:highlight w:val="none"/>
          <w:lang w:eastAsia="zh-CN" w:bidi="ar"/>
          <w14:textFill>
            <w14:solidFill>
              <w14:schemeClr w14:val="tx1"/>
            </w14:solidFill>
          </w14:textFill>
        </w:rPr>
        <w:t>开发</w:t>
      </w:r>
      <w:r>
        <w:rPr>
          <w:rFonts w:hint="default" w:ascii="Times New Roman" w:hAnsi="Times New Roman" w:eastAsia="仿宋" w:cs="Times New Roman"/>
          <w:b/>
          <w:bCs/>
          <w:color w:val="000000" w:themeColor="text1"/>
          <w:sz w:val="24"/>
          <w:szCs w:val="24"/>
          <w:highlight w:val="none"/>
          <w:lang w:eastAsia="zh-CN" w:bidi="ar"/>
          <w14:textFill>
            <w14:solidFill>
              <w14:schemeClr w14:val="tx1"/>
            </w14:solidFill>
          </w14:textFill>
        </w:rPr>
        <w:t>区突发环境事件应急预案体系图</w:t>
      </w:r>
    </w:p>
    <w:p w14:paraId="4CC2FC6D">
      <w:pPr>
        <w:pStyle w:val="4"/>
        <w:shd w:val="clear"/>
        <w:rPr>
          <w:rFonts w:hint="default" w:ascii="Times New Roman" w:hAnsi="Times New Roman" w:cs="Times New Roman"/>
          <w:highlight w:val="none"/>
          <w:lang w:bidi="ar"/>
        </w:rPr>
      </w:pPr>
      <w:bookmarkStart w:id="31" w:name="_Toc17799"/>
      <w:bookmarkStart w:id="32" w:name="_Toc14011"/>
      <w:r>
        <w:rPr>
          <w:rFonts w:hint="default" w:ascii="Times New Roman" w:hAnsi="Times New Roman" w:cs="Times New Roman"/>
          <w:highlight w:val="none"/>
          <w:lang w:bidi="ar"/>
        </w:rPr>
        <w:t>主要环境敏感目标</w:t>
      </w:r>
      <w:bookmarkEnd w:id="31"/>
      <w:bookmarkEnd w:id="32"/>
    </w:p>
    <w:p w14:paraId="0924C8A8">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大亚湾</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开发</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区主要环境敏感目标主要涉及风田水库、龙尾山、石头河、畲禾坑水库、淡澳河、响水河、坪山河、石头河流域、大亚湾水产资源自然保护区以及澳头街道、西区街道、霞涌街道居民区等。</w:t>
      </w:r>
    </w:p>
    <w:p w14:paraId="079A33C2">
      <w:pPr>
        <w:pStyle w:val="4"/>
        <w:shd w:val="clear"/>
        <w:rPr>
          <w:rFonts w:hint="default" w:ascii="Times New Roman" w:hAnsi="Times New Roman" w:cs="Times New Roman"/>
          <w:highlight w:val="none"/>
          <w:lang w:bidi="ar"/>
        </w:rPr>
      </w:pPr>
      <w:bookmarkStart w:id="33" w:name="_Toc9142"/>
      <w:bookmarkStart w:id="34" w:name="_Toc13823"/>
      <w:r>
        <w:rPr>
          <w:rFonts w:hint="default" w:ascii="Times New Roman" w:hAnsi="Times New Roman" w:cs="Times New Roman"/>
          <w:highlight w:val="none"/>
          <w:lang w:bidi="ar"/>
        </w:rPr>
        <w:t>主要环境风险分析</w:t>
      </w:r>
      <w:bookmarkEnd w:id="33"/>
      <w:bookmarkEnd w:id="34"/>
    </w:p>
    <w:p w14:paraId="5759823B">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大亚湾开发区环境风险区域主要集中在石化产业区、荃湾石化物流仓储区、马鞭洲原油罐区、响水河工业区、石头河流域工业区、危险货物运输车辆途径的风田水库路段。石化区炼油及中下游化工企业使用的原辅材料及产品部分为有毒有害物质，荃湾石化物流仓储区主要储存成品油、化学品，马鞭洲原油罐区储备原油，如发生各类事故、自然灾害可能导致污染物或其他有毒有害物质污染区内的大气、水体、土壤、大亚湾水产资源自然保护区；响水河工业区、石头河流域工业区为线路板等涉重金属排污企业集中区域；惠大高速是危险货物运输车辆进出大亚湾开发区的主要通道之一，部分路段穿越风田水库，如发生危险货物运输车辆交通事故等原因导致物料泄漏可能会引发饮用水源污染事件，威胁我区饮用水安全。</w:t>
      </w:r>
    </w:p>
    <w:p w14:paraId="542B07C8">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大亚湾开发区可能发生的突发环境事件，主要有以下几种类型：</w:t>
      </w:r>
    </w:p>
    <w:p w14:paraId="57BE287A">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（1）水体污染事件</w:t>
      </w:r>
    </w:p>
    <w:p w14:paraId="58D49303">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突发事件导致区内饮用水源、大亚湾海域及其他水体水质恶化。</w:t>
      </w:r>
    </w:p>
    <w:p w14:paraId="27E37C18">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——生产、储存</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w:t>
      </w:r>
      <w:r>
        <w:rPr>
          <w:rFonts w:hint="eastAsia" w:ascii="Times New Roman" w:hAnsi="Times New Roman" w:eastAsia="仿宋" w:cs="Times New Roman"/>
          <w:color w:val="000000" w:themeColor="text1"/>
          <w:szCs w:val="28"/>
          <w:highlight w:val="none"/>
          <w:lang w:val="en-US" w:eastAsia="zh-CN"/>
          <w14:textFill>
            <w14:solidFill>
              <w14:schemeClr w14:val="tx1"/>
            </w14:solidFill>
          </w14:textFill>
        </w:rPr>
        <w:t>使用</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环境风险物质因泄漏、火灾、爆炸事故产生的物料、污水等排入水体，引发污染事件；</w:t>
      </w:r>
    </w:p>
    <w:p w14:paraId="34E4E607">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——危险货物运输车辆交通事故导致环境风险物质进入水体，引发污染事件；</w:t>
      </w:r>
    </w:p>
    <w:p w14:paraId="4E95C02F">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——危险废物失控流入水体、大亚湾水产资源自然保护区海域，引发污染事件；</w:t>
      </w:r>
    </w:p>
    <w:p w14:paraId="46C3C620">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——区内线路板等企业因人为、自然灾害等原因引发工业污水超标排放事件；</w:t>
      </w:r>
    </w:p>
    <w:p w14:paraId="3A992C49">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——海底管线、排污管道、长输油气管道泄漏而引发的突发环境事件。</w:t>
      </w:r>
    </w:p>
    <w:p w14:paraId="3127C14B">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码头装卸危险货物泄漏流入海域，引发污染事件。</w:t>
      </w:r>
    </w:p>
    <w:p w14:paraId="4FC5EE01">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（2）大气污染事件</w:t>
      </w:r>
    </w:p>
    <w:p w14:paraId="2BA1C7C6">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突发事件导致区内环境空气受到污染。</w:t>
      </w:r>
    </w:p>
    <w:p w14:paraId="49DB4BD3">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——液化有毒气体及其他有毒有害挥发性环境风险物质，在生产、储存</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w:t>
      </w:r>
      <w:r>
        <w:rPr>
          <w:rFonts w:hint="eastAsia" w:ascii="Times New Roman" w:hAnsi="Times New Roman" w:eastAsia="仿宋" w:cs="Times New Roman"/>
          <w:color w:val="000000" w:themeColor="text1"/>
          <w:szCs w:val="28"/>
          <w:highlight w:val="none"/>
          <w:lang w:val="en-US" w:eastAsia="zh-CN"/>
          <w14:textFill>
            <w14:solidFill>
              <w14:schemeClr w14:val="tx1"/>
            </w14:solidFill>
          </w14:textFill>
        </w:rPr>
        <w:t>使用</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、运输过程中失控（如大面积泄漏）引起大气污染。</w:t>
      </w:r>
    </w:p>
    <w:p w14:paraId="65A4D6D3">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——长输</w:t>
      </w:r>
      <w:r>
        <w:rPr>
          <w:rFonts w:hint="eastAsia" w:ascii="Times New Roman" w:hAnsi="Times New Roman" w:eastAsia="仿宋" w:cs="Times New Roman"/>
          <w:color w:val="000000" w:themeColor="text1"/>
          <w:szCs w:val="28"/>
          <w:highlight w:val="none"/>
          <w:lang w:val="en-US" w:eastAsia="zh-CN"/>
          <w14:textFill>
            <w14:solidFill>
              <w14:schemeClr w14:val="tx1"/>
            </w14:solidFill>
          </w14:textFill>
        </w:rPr>
        <w:t>油</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气管道泄漏引起大气污染。</w:t>
      </w:r>
    </w:p>
    <w:p w14:paraId="7ACC027D">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——企业大量超标排放工业废气，引起局部大气污染。</w:t>
      </w:r>
    </w:p>
    <w:p w14:paraId="03386F8C">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（3）因不可抗力造成的危及生态环境安全事件。</w:t>
      </w:r>
    </w:p>
    <w:p w14:paraId="6346298C">
      <w:pPr>
        <w:keepNext w:val="0"/>
        <w:keepLines w:val="0"/>
        <w:pageBreakBefore w:val="0"/>
        <w:widowControl w:val="0"/>
        <w:shd w:val="clear"/>
        <w:kinsoku/>
        <w:wordWrap/>
        <w:overflowPunct/>
        <w:topLinePunct w:val="0"/>
        <w:autoSpaceDE w:val="0"/>
        <w:autoSpaceDN w:val="0"/>
        <w:bidi w:val="0"/>
        <w:adjustRightInd/>
        <w:snapToGrid/>
        <w:spacing w:line="480" w:lineRule="exact"/>
        <w:ind w:firstLine="560"/>
        <w:textAlignment w:val="auto"/>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（4）其他突发环境事件。</w:t>
      </w:r>
    </w:p>
    <w:p w14:paraId="66A6BE69">
      <w:pPr>
        <w:pStyle w:val="3"/>
        <w:shd w:val="clear"/>
        <w:rPr>
          <w:rFonts w:hint="default" w:ascii="Times New Roman" w:hAnsi="Times New Roman" w:cs="Times New Roman"/>
          <w:highlight w:val="none"/>
        </w:rPr>
      </w:pPr>
      <w:bookmarkStart w:id="35" w:name="_Toc19849"/>
      <w:bookmarkStart w:id="36" w:name="_Toc29874"/>
      <w:bookmarkStart w:id="37" w:name="_Toc31979"/>
      <w:bookmarkStart w:id="38" w:name="_Toc10946"/>
      <w:r>
        <w:rPr>
          <w:rFonts w:hint="default" w:ascii="Times New Roman" w:hAnsi="Times New Roman" w:cs="Times New Roman"/>
          <w:highlight w:val="none"/>
        </w:rPr>
        <w:t>组织指挥体系及职责</w:t>
      </w:r>
      <w:bookmarkEnd w:id="35"/>
      <w:bookmarkEnd w:id="36"/>
      <w:bookmarkEnd w:id="37"/>
      <w:bookmarkEnd w:id="38"/>
    </w:p>
    <w:p w14:paraId="5800BA6C">
      <w:pPr>
        <w:pStyle w:val="4"/>
        <w:shd w:val="clear"/>
        <w:rPr>
          <w:rFonts w:hint="default" w:ascii="Times New Roman" w:hAnsi="Times New Roman" w:cs="Times New Roman"/>
          <w:highlight w:val="none"/>
        </w:rPr>
      </w:pPr>
      <w:bookmarkStart w:id="39" w:name="_Toc4713"/>
      <w:bookmarkStart w:id="40" w:name="_Toc7068"/>
      <w:bookmarkStart w:id="41" w:name="_Toc31454"/>
      <w:bookmarkStart w:id="42" w:name="_Toc22145"/>
      <w:r>
        <w:rPr>
          <w:rFonts w:hint="default" w:ascii="Times New Roman" w:hAnsi="Times New Roman" w:cs="Times New Roman"/>
          <w:highlight w:val="none"/>
        </w:rPr>
        <w:t>组织指挥体系</w:t>
      </w:r>
      <w:bookmarkEnd w:id="39"/>
      <w:bookmarkEnd w:id="40"/>
      <w:bookmarkEnd w:id="41"/>
      <w:bookmarkEnd w:id="42"/>
    </w:p>
    <w:p w14:paraId="674E10F9">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突发环境事件发生后，由区管委会负责应对并设立区突发环境事件应急指挥部（以下简称区环境应急指挥部），作为区突发事件应急委员会下设的工作机构，负责统筹全区突发环境事件及其次生、衍生灾害的应急处置工作，组织开展突发环境事件应对工作。区环境应急指挥部成员单位按照各自职责做好突发环境事件应对相关工作。</w:t>
      </w:r>
    </w:p>
    <w:p w14:paraId="1B1F9767">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区突发环境事件应急组织体系由区环境应急指挥部、现场指挥部、专家组和应急救援队伍等组成。</w:t>
      </w:r>
    </w:p>
    <w:p w14:paraId="312C7AEB">
      <w:pPr>
        <w:pStyle w:val="15"/>
        <w:keepNext w:val="0"/>
        <w:keepLines w:val="0"/>
        <w:pageBreakBefore w:val="0"/>
        <w:widowControl w:val="0"/>
        <w:shd w:val="clear"/>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cs="Times New Roman"/>
          <w:color w:val="000000" w:themeColor="text1"/>
          <w:szCs w:val="28"/>
          <w:highlight w:val="none"/>
          <w:lang w:eastAsia="zh-CN"/>
          <w14:textFill>
            <w14:solidFill>
              <w14:schemeClr w14:val="tx1"/>
            </w14:solidFill>
          </w14:textFill>
        </w:rPr>
      </w:pPr>
      <w:r>
        <w:rPr>
          <w:rFonts w:hint="eastAsia" w:ascii="Times New Roman" w:hAnsi="Times New Roman" w:cs="Times New Roman"/>
          <w:highlight w:val="none"/>
          <w:lang w:val="en-US" w:eastAsia="zh-CN"/>
        </w:rPr>
        <w:drawing>
          <wp:inline distT="0" distB="0" distL="114300" distR="114300">
            <wp:extent cx="5552440" cy="3891915"/>
            <wp:effectExtent l="0" t="0" r="10160" b="13335"/>
            <wp:docPr id="3" name="图片 6" descr="cdc43ee5a2bb6c3609b5675aa8099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cdc43ee5a2bb6c3609b5675aa8099135"/>
                    <pic:cNvPicPr>
                      <a:picLocks noChangeAspect="1"/>
                    </pic:cNvPicPr>
                  </pic:nvPicPr>
                  <pic:blipFill>
                    <a:blip r:embed="rId18"/>
                    <a:stretch>
                      <a:fillRect/>
                    </a:stretch>
                  </pic:blipFill>
                  <pic:spPr>
                    <a:xfrm>
                      <a:off x="0" y="0"/>
                      <a:ext cx="5552440" cy="3891915"/>
                    </a:xfrm>
                    <a:prstGeom prst="rect">
                      <a:avLst/>
                    </a:prstGeom>
                    <a:noFill/>
                    <a:ln>
                      <a:noFill/>
                    </a:ln>
                  </pic:spPr>
                </pic:pic>
              </a:graphicData>
            </a:graphic>
          </wp:inline>
        </w:drawing>
      </w:r>
    </w:p>
    <w:p w14:paraId="443763AE">
      <w:pPr>
        <w:pStyle w:val="13"/>
        <w:shd w:val="clear"/>
        <w:ind w:firstLine="0" w:firstLineChars="0"/>
        <w:jc w:val="cente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pP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t>图</w:t>
      </w:r>
      <w:r>
        <w:rPr>
          <w:rFonts w:hint="default" w:ascii="Times New Roman" w:hAnsi="Times New Roman" w:eastAsia="仿宋" w:cs="Times New Roman"/>
          <w:b/>
          <w:bCs/>
          <w:color w:val="000000" w:themeColor="text1"/>
          <w:sz w:val="24"/>
          <w:szCs w:val="24"/>
          <w:highlight w:val="none"/>
          <w14:textFill>
            <w14:solidFill>
              <w14:schemeClr w14:val="tx1"/>
            </w14:solidFill>
          </w14:textFill>
        </w:rPr>
        <w:fldChar w:fldCharType="begin"/>
      </w: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instrText xml:space="preserve"> SEQ 图 \* ARABIC </w:instrText>
      </w:r>
      <w:r>
        <w:rPr>
          <w:rFonts w:hint="default" w:ascii="Times New Roman" w:hAnsi="Times New Roman" w:eastAsia="仿宋" w:cs="Times New Roman"/>
          <w:b/>
          <w:bCs/>
          <w:color w:val="000000" w:themeColor="text1"/>
          <w:sz w:val="24"/>
          <w:szCs w:val="24"/>
          <w:highlight w:val="none"/>
          <w14:textFill>
            <w14:solidFill>
              <w14:schemeClr w14:val="tx1"/>
            </w14:solidFill>
          </w14:textFill>
        </w:rPr>
        <w:fldChar w:fldCharType="separate"/>
      </w: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t>2</w:t>
      </w:r>
      <w:r>
        <w:rPr>
          <w:rFonts w:hint="default" w:ascii="Times New Roman" w:hAnsi="Times New Roman" w:eastAsia="仿宋" w:cs="Times New Roman"/>
          <w:b/>
          <w:bCs/>
          <w:color w:val="000000" w:themeColor="text1"/>
          <w:sz w:val="24"/>
          <w:szCs w:val="24"/>
          <w:highlight w:val="none"/>
          <w14:textFill>
            <w14:solidFill>
              <w14:schemeClr w14:val="tx1"/>
            </w14:solidFill>
          </w14:textFill>
        </w:rPr>
        <w:fldChar w:fldCharType="end"/>
      </w: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t xml:space="preserve"> 区环境应急组织体系架构图</w:t>
      </w:r>
    </w:p>
    <w:p w14:paraId="344F0F57">
      <w:pPr>
        <w:pStyle w:val="4"/>
        <w:shd w:val="clear"/>
        <w:rPr>
          <w:rFonts w:hint="default" w:ascii="Times New Roman" w:hAnsi="Times New Roman" w:cs="Times New Roman"/>
          <w:highlight w:val="none"/>
        </w:rPr>
      </w:pPr>
      <w:bookmarkStart w:id="43" w:name="_Toc12548"/>
      <w:bookmarkStart w:id="44" w:name="_Toc30162"/>
      <w:bookmarkStart w:id="45" w:name="_Toc10050"/>
      <w:bookmarkStart w:id="46" w:name="_Toc18946"/>
      <w:r>
        <w:rPr>
          <w:rFonts w:hint="default" w:ascii="Times New Roman" w:hAnsi="Times New Roman" w:cs="Times New Roman"/>
          <w:highlight w:val="none"/>
        </w:rPr>
        <w:t>区环境应急指挥部的组成与职责</w:t>
      </w:r>
      <w:bookmarkEnd w:id="43"/>
      <w:bookmarkEnd w:id="44"/>
      <w:bookmarkEnd w:id="45"/>
      <w:bookmarkEnd w:id="46"/>
    </w:p>
    <w:p w14:paraId="346CD58D">
      <w:pPr>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环境应急指挥部由区管委会分管生态环境工作的副主任任总指挥，区综合办公室（宣传统战办公室）协调生态环境工作的副主任、区生态环境分局局长、区应急管理局局长任副总指挥。区环境应急指挥部办公室设在区生态环境分局。成员单位包括区综合办公室（宣传统战办公室）、区应急管理局、区消防救援大队、区生态环境分局、区经济发展和统计局、区交通运输和海洋经济局、区财政国资金融局、区市场监督管理局、区城乡建设和综合执法局、区社会事务管理局、区石化能源产业局、区教育文化卫生健康局、区公安分局、区自然资源分局（海洋分局）、惠州大亚湾海事处、惠州大亚湾供电局、辖区街道办以及惠州大亚湾环境水务集团有限公司、市港口投资集团、溢源净水公司、中国电信大亚湾分公司、中国移动大亚湾分公司等有关单位负责人组成。各成员单位职责如下：</w:t>
      </w:r>
    </w:p>
    <w:p w14:paraId="33140DA0">
      <w:pPr>
        <w:shd w:val="clear"/>
        <w:ind w:firstLine="562"/>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b/>
          <w:bCs/>
          <w:color w:val="000000" w:themeColor="text1"/>
          <w:szCs w:val="28"/>
          <w:highlight w:val="none"/>
          <w:lang w:eastAsia="zh-CN" w:bidi="ar"/>
          <w14:textFill>
            <w14:solidFill>
              <w14:schemeClr w14:val="tx1"/>
            </w14:solidFill>
          </w14:textFill>
        </w:rPr>
        <w:t>（1）区综合办公室（宣传统战办公室）：</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负责</w:t>
      </w:r>
      <w:r>
        <w:rPr>
          <w:rFonts w:hint="eastAsia" w:ascii="Times New Roman" w:hAnsi="Times New Roman" w:eastAsia="仿宋" w:cs="Times New Roman"/>
          <w:color w:val="000000" w:themeColor="text1"/>
          <w:szCs w:val="28"/>
          <w:highlight w:val="none"/>
          <w:lang w:eastAsia="zh-CN" w:bidi="ar"/>
          <w14:textFill>
            <w14:solidFill>
              <w14:schemeClr w14:val="tx1"/>
            </w14:solidFill>
          </w14:textFill>
        </w:rPr>
        <w:t>首次</w:t>
      </w:r>
      <w:r>
        <w:rPr>
          <w:rFonts w:hint="eastAsia" w:ascii="Times New Roman" w:hAnsi="Times New Roman" w:eastAsia="仿宋" w:cs="Times New Roman"/>
          <w:color w:val="000000" w:themeColor="text1"/>
          <w:szCs w:val="28"/>
          <w:highlight w:val="none"/>
          <w:lang w:val="en-US" w:eastAsia="zh-CN" w:bidi="ar"/>
          <w14:textFill>
            <w14:solidFill>
              <w14:schemeClr w14:val="tx1"/>
            </w14:solidFill>
          </w14:textFill>
        </w:rPr>
        <w:t>协调调度</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相关部门参与应急处置；根据有关规定及时向区领导、惠州市委市政府总值班室报送突发环境事件信息；负责环境事件应急处置宣传报道、新闻发布的组织、协调工作，</w:t>
      </w:r>
      <w:r>
        <w:rPr>
          <w:rFonts w:hint="eastAsia" w:ascii="Times New Roman" w:hAnsi="Times New Roman" w:eastAsia="仿宋" w:cs="Times New Roman"/>
          <w:color w:val="000000" w:themeColor="text1"/>
          <w:szCs w:val="28"/>
          <w:highlight w:val="none"/>
          <w:lang w:val="en-US" w:eastAsia="zh-CN" w:bidi="ar"/>
          <w14:textFill>
            <w14:solidFill>
              <w14:schemeClr w14:val="tx1"/>
            </w14:solidFill>
          </w14:textFill>
        </w:rPr>
        <w:t>协同</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相关部门加强对新闻监管及网上舆论引导工作。</w:t>
      </w:r>
    </w:p>
    <w:p w14:paraId="303978A3">
      <w:pPr>
        <w:pStyle w:val="15"/>
        <w:shd w:val="clear"/>
        <w:ind w:firstLine="562"/>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（2）区应急管理局：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组织协调安全生产类突发事件应急救援，指导协调自然灾害类突发事件应急救援；统筹森林火灾扑救、抗洪抢险、地震和地质灾害救援、生产安全事故救援等应急救援力量建设；及时通报生产安全事故、自然灾害可能引发的次生突发环境事件信息；统筹协调应急救援物资和装备，会同相关部门做好基本生活物资储备工作</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负责密切监测突发环境事件发生地及周边的气象实况，及时提供有关气象数据；负责对应急避护场所的管理。</w:t>
      </w:r>
    </w:p>
    <w:p w14:paraId="1CB259D4">
      <w:pPr>
        <w:pStyle w:val="15"/>
        <w:shd w:val="clear"/>
        <w:ind w:firstLine="562"/>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（3）区财政国资金融局：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做好应急资金保障，配合相关业务主管部门对应急资金的安排、使用、管理进行监督。</w:t>
      </w:r>
    </w:p>
    <w:p w14:paraId="3158A30E">
      <w:pPr>
        <w:pStyle w:val="15"/>
        <w:shd w:val="clear"/>
        <w:ind w:firstLine="562"/>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（4）区公安分局：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事故现场警戒、周边道路的交通管制工作；负责维护事发地的治安秩序和社会稳定、群众疏散、事故嫌疑人控制等工作；负责牵头组织因交通事故引发突发事件的处置；指导做好剧毒、易制爆危险化学品储存场所治安防范工作；参与事故调查处理。</w:t>
      </w:r>
    </w:p>
    <w:p w14:paraId="6D9E72A1">
      <w:pPr>
        <w:pStyle w:val="15"/>
        <w:shd w:val="clear"/>
        <w:ind w:firstLine="562"/>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（5）区消防救援大队：</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负责事故现场火灾扑救工作，组织现场洗消工作，在现场指挥部的统一领导下参与其他应急救援工作。</w:t>
      </w:r>
    </w:p>
    <w:p w14:paraId="107FB51B">
      <w:pPr>
        <w:pStyle w:val="15"/>
        <w:shd w:val="clear"/>
        <w:ind w:firstLine="562"/>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（6）区生态环境分局（区环境应急指挥部办公室）：</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组织修订区突发环境事件应急预案；向区环境应急指挥部总指挥建议启动区环境应急预案命令；负责建立突发环境事件社会应急救援队伍；负责组织实施一般突发环境事件的预防预警、应急监测、应急处置、调查评估等工作，参与较大及以上突发环境事件应急处置；突发环境事件应急处置工作结束后，及时组织评估事件造成的环境影响和损失，并及时将评估结果向社会公布；负责突发环境事件应急处置期间环境应急预付款和环境应急补偿工作；负责陆源污染物和海岸工程建设项目等引发的海洋突发环境事件的应急处置；负责区环境应急专家组的设立和管理；监督有关部门做好善后处理以及恢复生活、生产秩序等工作，提请发布应急状态解除令；会同相关部门组织开展应急演练、人员培训和宣传教育等工作。</w:t>
      </w:r>
    </w:p>
    <w:p w14:paraId="2EBEE0E9">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（7）</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区城乡建设和综合执法局：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配合做好水质污染事件的调查和应急处置工作，协调调度工程单位为突发环境事件应急处置提供工程抢险保障；参与涉及市政公用基础设施突发环境事件的相关工作；指导做好燃气等市政设施安全正常运行和污水管网的安全工作；参与影响城市供水安全的突发环境事件应急处置工作，监管供水公司的制水和供水安全。</w:t>
      </w:r>
    </w:p>
    <w:p w14:paraId="1AB69388">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（8）</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区教育文化卫生健康局：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负责组织协调疾病预防控制，负责组织协调应急医疗救援。</w:t>
      </w:r>
    </w:p>
    <w:p w14:paraId="717299D3">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（9）</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区社会事务管理局：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渔港水域内非军事船舶和渔港水域外渔业船舶污染海洋环境事件的监督管理，按权限参与海洋环境污染事故应急处置和调查处理；配合做好对突发环境事件造成的农业资源破坏、渔业资源损害的评估和调查工作；配合做好突发水环境事件的调查和应急处置工作，组织协调环境应急水量调度；负责陆生野生动物及木本植物物种安全事件的应急处置工作，参与因突发环境事件造成的林业资源损害的评估和生态恢复重建工作；参与海洋环境污染事故应急处置和调查处理；负责突发环境事件所需水文信息的监测，水文数据的收集、处理</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；配合开展赤潮、绿潮引发的海洋突发环境事件的预警监测工作</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w:t>
      </w:r>
    </w:p>
    <w:p w14:paraId="6FAD306F">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（10）</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区交通运输和海洋经济局：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应急救援物资、人员撤离、污染物质（包括污水）转运和道路运输应急运力的组织等交通运输保障工作；制定应急运输保障方案；参与因道路交通事故引发的突发环境事件应急处置；负责协调港口危险货物突发环境事件的应急救援及调查处理。</w:t>
      </w:r>
    </w:p>
    <w:p w14:paraId="40D677BA">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（11）</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惠州大亚湾海事处：</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负责组织协调非渔业、非军事船舶的污染事件的应急救援及调查处理；为突发环境事件开展水上环境监测等活动提供船舶、人员等方面支持。</w:t>
      </w:r>
    </w:p>
    <w:p w14:paraId="09A9B159">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（12）</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区石化能源产业局：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负责（园区）石油天然气管道（城镇燃气管道和海底管道、炼油、化工等企业厂区内管道除外）保护工作</w:t>
      </w:r>
      <w:r>
        <w:rPr>
          <w:rFonts w:hint="eastAsia" w:ascii="Times New Roman" w:hAnsi="Times New Roman" w:eastAsia="仿宋" w:cs="Times New Roman"/>
          <w:color w:val="000000" w:themeColor="text1"/>
          <w:szCs w:val="28"/>
          <w:highlight w:val="none"/>
          <w:lang w:eastAsia="zh-CN"/>
          <w14:textFill>
            <w14:solidFill>
              <w14:schemeClr w14:val="tx1"/>
            </w14:solidFill>
          </w14:textFill>
        </w:rPr>
        <w:t>；</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负责协调保障电力、成品油等能源的供应；组织协调区石化能源产业局作为业主单位建设项目生产安全事故的应急处置工作；参与石化区生产安全事故应急处置、善后处置工作。</w:t>
      </w:r>
    </w:p>
    <w:p w14:paraId="3EB653FB">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（13）</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区自然资源分局（海洋分局）：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配合做好因突发地质灾害次生环境污染、生态破坏事件的调查与应急处置；负责组织赤潮、绿潮引发的海洋突发环境事件的预警监测工作；配合开展陆源污染物流入海洋引发的海洋突发环境事件的应急处置工作；负责组织海洋突发环境事件的海洋生态损害评估，组织开展海洋生态资源修复。</w:t>
      </w:r>
    </w:p>
    <w:p w14:paraId="66C00DD2">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（14）</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澳头、西区、霞涌街道办：</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街道办事处调动应急救援力量，采取措施控制事态发展，组织开展应急救援和处置工作，并及时向区管委会报告。</w:t>
      </w:r>
    </w:p>
    <w:p w14:paraId="5B412AF2">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（15）</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区经济发展和统计局：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负责协调有关单位为突发环境事件应急通信保障工作提供支持。</w:t>
      </w:r>
    </w:p>
    <w:p w14:paraId="45B6B0FA">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（16）</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区市场监督管理局：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 xml:space="preserve">对特种设备安全实施监督管理；组织或参与因特种设备引发的事件的调查处理；负责应急救援食品、药品的安全监管工作；负责控制受污染食品进入流通领域。 </w:t>
      </w:r>
    </w:p>
    <w:p w14:paraId="099BD3BF">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（17）</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惠州大亚湾供电局：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负责应急救援用电保障工作；完成区应急指挥部交办的其他任务。</w:t>
      </w:r>
    </w:p>
    <w:p w14:paraId="6EBC8CBF">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（18）</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惠州大亚湾环境水务集团有限公司、市港口投资集团：</w:t>
      </w:r>
      <w:r>
        <w:rPr>
          <w:rFonts w:hint="default" w:ascii="Times New Roman" w:hAnsi="Times New Roman" w:eastAsia="仿宋" w:cs="Times New Roman"/>
          <w:b w:val="0"/>
          <w:bCs w:val="0"/>
          <w:color w:val="000000" w:themeColor="text1"/>
          <w:szCs w:val="28"/>
          <w:highlight w:val="none"/>
          <w:lang w:eastAsia="zh-CN"/>
          <w14:textFill>
            <w14:solidFill>
              <w14:schemeClr w14:val="tx1"/>
            </w14:solidFill>
          </w14:textFill>
        </w:rPr>
        <w:t>接受区相关部门调度参与突发环境事件应急处置，</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负责本系统应急救援的协调及系统内人员的疏散。</w:t>
      </w:r>
    </w:p>
    <w:p w14:paraId="16C92949">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（19）</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溢源净水公司：</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负责饮用水的供给保障和现场灭火用水的保障工作；协助水源地水质安全事件的应急抢险工作，保证供水安全。</w:t>
      </w:r>
    </w:p>
    <w:p w14:paraId="3D93E92A">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14:textFill>
            <w14:solidFill>
              <w14:schemeClr w14:val="tx1"/>
            </w14:solidFill>
          </w14:textFill>
        </w:rPr>
        <w:t>（20）</w:t>
      </w:r>
      <w:r>
        <w:rPr>
          <w:rFonts w:hint="default" w:ascii="Times New Roman" w:hAnsi="Times New Roman" w:eastAsia="仿宋" w:cs="Times New Roman"/>
          <w:b/>
          <w:bCs/>
          <w:color w:val="000000" w:themeColor="text1"/>
          <w:szCs w:val="28"/>
          <w:highlight w:val="none"/>
          <w:lang w:eastAsia="zh-CN"/>
          <w14:textFill>
            <w14:solidFill>
              <w14:schemeClr w14:val="tx1"/>
            </w14:solidFill>
          </w14:textFill>
        </w:rPr>
        <w:t>中国电信大亚湾分公司、中国移动大亚湾分公司：</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保障突发环境事件应急处置通信畅通。</w:t>
      </w:r>
    </w:p>
    <w:p w14:paraId="6E266B59">
      <w:pPr>
        <w:pStyle w:val="4"/>
        <w:shd w:val="clear"/>
        <w:rPr>
          <w:rFonts w:hint="default" w:ascii="Times New Roman" w:hAnsi="Times New Roman" w:cs="Times New Roman"/>
          <w:highlight w:val="none"/>
        </w:rPr>
      </w:pPr>
      <w:bookmarkStart w:id="47" w:name="_Toc31194"/>
      <w:bookmarkStart w:id="48" w:name="_Toc22817"/>
      <w:bookmarkStart w:id="49" w:name="_Toc8128"/>
      <w:bookmarkStart w:id="50" w:name="_Toc30556"/>
      <w:r>
        <w:rPr>
          <w:rFonts w:hint="default" w:ascii="Times New Roman" w:hAnsi="Times New Roman" w:cs="Times New Roman"/>
          <w:highlight w:val="none"/>
        </w:rPr>
        <w:t>专家组</w:t>
      </w:r>
      <w:bookmarkEnd w:id="47"/>
      <w:bookmarkEnd w:id="48"/>
      <w:bookmarkEnd w:id="49"/>
      <w:bookmarkEnd w:id="50"/>
    </w:p>
    <w:p w14:paraId="38C2B9CF">
      <w:pPr>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区生态环境分局建立环境应急专家库，应急专家组成员从区应急专家库临时抽调，其主要职责是：对突发性环境事件可能的危害范围、危害程度、事件等级、发展趋势等做出科学评估；为现场应急处置提供技术支持；对事件的中长期环境影响评价及事件调查等提供技术指导。</w:t>
      </w:r>
    </w:p>
    <w:p w14:paraId="16656993">
      <w:pPr>
        <w:pStyle w:val="4"/>
        <w:shd w:val="clear"/>
        <w:rPr>
          <w:rFonts w:hint="default" w:ascii="Times New Roman" w:hAnsi="Times New Roman" w:cs="Times New Roman"/>
          <w:highlight w:val="none"/>
        </w:rPr>
      </w:pPr>
      <w:bookmarkStart w:id="51" w:name="_Toc9735"/>
      <w:bookmarkStart w:id="52" w:name="_Toc14017"/>
      <w:r>
        <w:rPr>
          <w:rFonts w:hint="default" w:ascii="Times New Roman" w:hAnsi="Times New Roman" w:cs="Times New Roman"/>
          <w:highlight w:val="none"/>
        </w:rPr>
        <w:t>现场指挥部</w:t>
      </w:r>
      <w:bookmarkEnd w:id="51"/>
      <w:bookmarkEnd w:id="52"/>
    </w:p>
    <w:p w14:paraId="7DA47A0E">
      <w:pPr>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发生突发环境事件时，</w:t>
      </w:r>
      <w:r>
        <w:rPr>
          <w:rFonts w:hint="default" w:ascii="Times New Roman" w:hAnsi="Times New Roman" w:eastAsia="仿宋" w:cs="Times New Roman"/>
          <w:szCs w:val="28"/>
          <w:highlight w:val="none"/>
          <w:lang w:val="en-US" w:eastAsia="zh-CN"/>
        </w:rPr>
        <w:t>区</w:t>
      </w:r>
      <w:r>
        <w:rPr>
          <w:rFonts w:hint="default" w:ascii="Times New Roman" w:hAnsi="Times New Roman" w:eastAsia="仿宋" w:cs="Times New Roman"/>
          <w:szCs w:val="28"/>
          <w:highlight w:val="none"/>
          <w:lang w:eastAsia="zh-CN"/>
        </w:rPr>
        <w:t>环境应急指挥部设在</w:t>
      </w:r>
      <w:r>
        <w:rPr>
          <w:rFonts w:hint="eastAsia" w:ascii="Times New Roman" w:hAnsi="Times New Roman" w:eastAsia="仿宋" w:cs="Times New Roman"/>
          <w:szCs w:val="28"/>
          <w:highlight w:val="none"/>
          <w:lang w:val="en-US" w:eastAsia="zh-CN"/>
        </w:rPr>
        <w:t>区生态环境分局</w:t>
      </w:r>
      <w:r>
        <w:rPr>
          <w:rFonts w:hint="default" w:ascii="Times New Roman" w:hAnsi="Times New Roman" w:eastAsia="仿宋" w:cs="Times New Roman"/>
          <w:szCs w:val="28"/>
          <w:highlight w:val="none"/>
          <w:lang w:eastAsia="zh-CN"/>
        </w:rPr>
        <w:t>，</w:t>
      </w:r>
      <w:r>
        <w:rPr>
          <w:rFonts w:hint="default" w:ascii="Times New Roman" w:hAnsi="Times New Roman" w:eastAsia="仿宋" w:cs="Times New Roman"/>
          <w:szCs w:val="28"/>
          <w:highlight w:val="none"/>
          <w:lang w:val="en-US" w:eastAsia="zh-CN"/>
        </w:rPr>
        <w:t>并视情</w:t>
      </w:r>
      <w:r>
        <w:rPr>
          <w:rFonts w:hint="default" w:ascii="Times New Roman" w:hAnsi="Times New Roman" w:eastAsia="仿宋" w:cs="Times New Roman"/>
          <w:szCs w:val="28"/>
          <w:highlight w:val="none"/>
          <w:lang w:eastAsia="zh-CN"/>
        </w:rPr>
        <w:t>成立现场指挥部，统一组织协调指挥突发环境事件现场应急处置工作。</w:t>
      </w:r>
    </w:p>
    <w:p w14:paraId="35CB4A25">
      <w:pPr>
        <w:pStyle w:val="4"/>
        <w:shd w:val="clear"/>
        <w:rPr>
          <w:rFonts w:hint="default" w:ascii="Times New Roman" w:hAnsi="Times New Roman" w:cs="Times New Roman"/>
          <w:highlight w:val="none"/>
        </w:rPr>
      </w:pPr>
      <w:bookmarkStart w:id="53" w:name="_Toc27524"/>
      <w:bookmarkStart w:id="54" w:name="_Toc12055"/>
      <w:bookmarkStart w:id="55" w:name="_Toc29069"/>
      <w:bookmarkStart w:id="56" w:name="_Toc18864"/>
      <w:r>
        <w:rPr>
          <w:rFonts w:hint="default" w:ascii="Times New Roman" w:hAnsi="Times New Roman" w:cs="Times New Roman"/>
          <w:highlight w:val="none"/>
        </w:rPr>
        <w:t>应急救援队伍</w:t>
      </w:r>
      <w:bookmarkEnd w:id="53"/>
      <w:bookmarkEnd w:id="54"/>
      <w:bookmarkEnd w:id="55"/>
      <w:bookmarkEnd w:id="56"/>
    </w:p>
    <w:p w14:paraId="33C33A6F">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主要包括消防救援队伍、专业应急救援队伍、企业应急救援队伍、社会力量等。</w:t>
      </w:r>
    </w:p>
    <w:p w14:paraId="69594B86">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石油、化工、危险废物处置等高环境风险行业企业应当建立专职或者兼职的突发环境事件应急救援队伍，配备应急救援物资和装备，并积极参加社会应急救援。</w:t>
      </w:r>
    </w:p>
    <w:p w14:paraId="4F4B25F8">
      <w:pPr>
        <w:pStyle w:val="3"/>
        <w:shd w:val="clear"/>
        <w:rPr>
          <w:rFonts w:hint="default" w:ascii="Times New Roman" w:hAnsi="Times New Roman" w:cs="Times New Roman"/>
          <w:highlight w:val="none"/>
        </w:rPr>
      </w:pPr>
      <w:bookmarkStart w:id="57" w:name="_Toc20368"/>
      <w:bookmarkStart w:id="58" w:name="_Toc9170"/>
      <w:bookmarkStart w:id="59" w:name="_Toc13100"/>
      <w:bookmarkStart w:id="60" w:name="_Toc4514"/>
      <w:r>
        <w:rPr>
          <w:rFonts w:hint="default" w:ascii="Times New Roman" w:hAnsi="Times New Roman" w:cs="Times New Roman"/>
          <w:highlight w:val="none"/>
        </w:rPr>
        <w:t>运行机制</w:t>
      </w:r>
      <w:bookmarkEnd w:id="57"/>
      <w:bookmarkEnd w:id="58"/>
      <w:bookmarkEnd w:id="59"/>
      <w:bookmarkEnd w:id="60"/>
    </w:p>
    <w:p w14:paraId="52BFEE6E">
      <w:pPr>
        <w:pStyle w:val="4"/>
        <w:shd w:val="clear"/>
        <w:rPr>
          <w:rFonts w:hint="default" w:ascii="Times New Roman" w:hAnsi="Times New Roman" w:cs="Times New Roman"/>
          <w:highlight w:val="none"/>
        </w:rPr>
      </w:pPr>
      <w:bookmarkStart w:id="61" w:name="_Toc15413"/>
      <w:bookmarkStart w:id="62" w:name="_Toc18889"/>
      <w:bookmarkStart w:id="63" w:name="_Toc3637"/>
      <w:bookmarkStart w:id="64" w:name="_Toc20862"/>
      <w:r>
        <w:rPr>
          <w:rFonts w:hint="default" w:ascii="Times New Roman" w:hAnsi="Times New Roman" w:cs="Times New Roman"/>
          <w:highlight w:val="none"/>
        </w:rPr>
        <w:t>监测预警</w:t>
      </w:r>
      <w:bookmarkEnd w:id="61"/>
      <w:bookmarkEnd w:id="62"/>
      <w:bookmarkEnd w:id="63"/>
      <w:bookmarkEnd w:id="64"/>
    </w:p>
    <w:p w14:paraId="35B00EBA">
      <w:pPr>
        <w:pStyle w:val="5"/>
        <w:shd w:val="clear"/>
        <w:rPr>
          <w:rFonts w:hint="default" w:ascii="Times New Roman" w:hAnsi="Times New Roman" w:cs="Times New Roman"/>
          <w:highlight w:val="none"/>
        </w:rPr>
      </w:pPr>
      <w:bookmarkStart w:id="65" w:name="_Toc18284"/>
      <w:r>
        <w:rPr>
          <w:rFonts w:hint="default" w:ascii="Times New Roman" w:hAnsi="Times New Roman" w:cs="Times New Roman"/>
          <w:highlight w:val="none"/>
        </w:rPr>
        <w:t>监测</w:t>
      </w:r>
      <w:bookmarkEnd w:id="65"/>
    </w:p>
    <w:p w14:paraId="7E7BBEB5">
      <w:pPr>
        <w:pStyle w:val="15"/>
        <w:shd w:val="clear"/>
        <w:ind w:firstLine="560"/>
        <w:rPr>
          <w:rFonts w:hint="default" w:ascii="Times New Roman" w:hAnsi="Times New Roman" w:eastAsia="仿宋" w:cs="Times New Roman"/>
          <w:szCs w:val="28"/>
          <w:highlight w:val="none"/>
          <w:lang w:eastAsia="zh-CN"/>
        </w:rPr>
      </w:pPr>
      <w:bookmarkStart w:id="66" w:name="_Hlk181282116"/>
      <w:r>
        <w:rPr>
          <w:rFonts w:hint="default" w:ascii="Times New Roman" w:hAnsi="Times New Roman" w:eastAsia="仿宋" w:cs="Times New Roman"/>
          <w:szCs w:val="28"/>
          <w:highlight w:val="none"/>
          <w:lang w:eastAsia="zh-CN"/>
        </w:rPr>
        <w:t>区环境应急指挥部有关成员单位应当对区内外环境信息、自然灾害预警信息、例行环境监测数据等开展综合分析、预警预防、风险评估和整理传报工作。</w:t>
      </w:r>
    </w:p>
    <w:p w14:paraId="4B2988B0">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区环境应急指挥部有关成员单位按照职责分工，负责相关突发环境事件信息接</w:t>
      </w:r>
      <w:r>
        <w:rPr>
          <w:rFonts w:hint="eastAsia" w:ascii="Times New Roman" w:hAnsi="Times New Roman" w:eastAsia="仿宋" w:cs="Times New Roman"/>
          <w:szCs w:val="28"/>
          <w:highlight w:val="none"/>
          <w:lang w:val="en-US" w:eastAsia="zh-CN"/>
        </w:rPr>
        <w:t>收</w:t>
      </w:r>
      <w:r>
        <w:rPr>
          <w:rFonts w:hint="default" w:ascii="Times New Roman" w:hAnsi="Times New Roman" w:eastAsia="仿宋" w:cs="Times New Roman"/>
          <w:szCs w:val="28"/>
          <w:highlight w:val="none"/>
          <w:lang w:eastAsia="zh-CN"/>
        </w:rPr>
        <w:t>、报告、处理、统计分析、信息监控，及时将可能导致突发环境事件的信息通报</w:t>
      </w:r>
      <w:r>
        <w:rPr>
          <w:rFonts w:hint="default" w:ascii="Times New Roman" w:hAnsi="Times New Roman" w:eastAsia="仿宋" w:cs="Times New Roman"/>
          <w:szCs w:val="28"/>
          <w:highlight w:val="none"/>
          <w:lang w:val="en-US" w:eastAsia="zh-CN"/>
        </w:rPr>
        <w:t>区</w:t>
      </w:r>
      <w:r>
        <w:rPr>
          <w:rFonts w:hint="default" w:ascii="Times New Roman" w:hAnsi="Times New Roman" w:eastAsia="仿宋" w:cs="Times New Roman"/>
          <w:szCs w:val="28"/>
          <w:highlight w:val="none"/>
          <w:lang w:eastAsia="zh-CN"/>
        </w:rPr>
        <w:t>生态环境</w:t>
      </w:r>
      <w:r>
        <w:rPr>
          <w:rFonts w:hint="default" w:ascii="Times New Roman" w:hAnsi="Times New Roman" w:eastAsia="仿宋" w:cs="Times New Roman"/>
          <w:szCs w:val="28"/>
          <w:highlight w:val="none"/>
          <w:lang w:val="en-US" w:eastAsia="zh-CN"/>
        </w:rPr>
        <w:t>分局</w:t>
      </w:r>
      <w:r>
        <w:rPr>
          <w:rFonts w:hint="default" w:ascii="Times New Roman" w:hAnsi="Times New Roman" w:eastAsia="仿宋" w:cs="Times New Roman"/>
          <w:szCs w:val="28"/>
          <w:highlight w:val="none"/>
          <w:lang w:eastAsia="zh-CN"/>
        </w:rPr>
        <w:t>。</w:t>
      </w:r>
    </w:p>
    <w:p w14:paraId="3D2FCFEA">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（1）区生态环境分局负责突发环境事件的信息接收、报告、处理、统计分析、信息监控；</w:t>
      </w:r>
    </w:p>
    <w:p w14:paraId="202EFC7B">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（2）区自然资源分局（海洋分局）负责赤潮、绿潮等事件的信息接收、报告、处理、统计分析、信息监控；</w:t>
      </w:r>
    </w:p>
    <w:p w14:paraId="1170F8F8">
      <w:pPr>
        <w:pStyle w:val="15"/>
        <w:shd w:val="clear"/>
        <w:ind w:firstLine="560"/>
      </w:pPr>
      <w:r>
        <w:rPr>
          <w:rFonts w:hint="default" w:ascii="Times New Roman" w:hAnsi="Times New Roman" w:eastAsia="仿宋" w:cs="Times New Roman"/>
          <w:szCs w:val="28"/>
          <w:highlight w:val="none"/>
          <w:lang w:eastAsia="zh-CN"/>
        </w:rPr>
        <w:t>（3）区交通运输和海洋经济局负责港口水域突发环境事件的信息接收、报告、处理、统计分析、信息监控；负责危险化学品、危险废物运输过程中引发的环境事件信息的接收、报告、处理和统计分析、信息监控</w:t>
      </w:r>
      <w:bookmarkEnd w:id="66"/>
      <w:r>
        <w:rPr>
          <w:rFonts w:hint="default" w:ascii="Times New Roman" w:hAnsi="Times New Roman" w:eastAsia="仿宋" w:cs="Times New Roman"/>
          <w:szCs w:val="28"/>
          <w:highlight w:val="none"/>
          <w:lang w:eastAsia="zh-CN"/>
        </w:rPr>
        <w:t>；</w:t>
      </w:r>
    </w:p>
    <w:p w14:paraId="521826ED">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（4）</w:t>
      </w:r>
      <w:r>
        <w:rPr>
          <w:rFonts w:hint="eastAsia" w:ascii="Times New Roman" w:hAnsi="Times New Roman" w:eastAsia="仿宋" w:cs="Times New Roman"/>
          <w:szCs w:val="28"/>
          <w:highlight w:val="none"/>
          <w:lang w:eastAsia="zh-CN"/>
        </w:rPr>
        <w:t>惠州</w:t>
      </w:r>
      <w:r>
        <w:rPr>
          <w:rFonts w:hint="default" w:ascii="Times New Roman" w:hAnsi="Times New Roman" w:eastAsia="仿宋" w:cs="Times New Roman"/>
          <w:szCs w:val="28"/>
          <w:highlight w:val="none"/>
          <w:lang w:eastAsia="zh-CN"/>
        </w:rPr>
        <w:t>大亚湾海事处负责非渔业、非军事船舶突发环境事件等的信息接收、报告、处理、统计分析、信息监控；</w:t>
      </w:r>
    </w:p>
    <w:p w14:paraId="01F38BF8">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（5）区生态环境分局会同区社会事务管理局、自然资源分局（海洋分局）等有关部门负责水体富营养化导致的藻类突发环境事件的信息接收、报告、处理、统计分析、信息监控；</w:t>
      </w:r>
    </w:p>
    <w:p w14:paraId="2C9EC96B">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（6）区生态环境分局会同区应急管理局、</w:t>
      </w:r>
      <w:r>
        <w:rPr>
          <w:rFonts w:hint="default" w:ascii="Times New Roman" w:hAnsi="Times New Roman" w:eastAsia="仿宋" w:cs="Times New Roman"/>
          <w:szCs w:val="28"/>
          <w:highlight w:val="none"/>
          <w:lang w:val="en-US" w:eastAsia="zh-CN"/>
        </w:rPr>
        <w:t>区</w:t>
      </w:r>
      <w:r>
        <w:rPr>
          <w:rFonts w:hint="default" w:ascii="Times New Roman" w:hAnsi="Times New Roman" w:eastAsia="仿宋" w:cs="Times New Roman"/>
          <w:szCs w:val="28"/>
          <w:highlight w:val="none"/>
          <w:lang w:eastAsia="zh-CN"/>
        </w:rPr>
        <w:t>公安分局等有关部门负责危险化学品安全事故引发的环境事件信息的接收、报告、处理和统计分析、信息监控；</w:t>
      </w:r>
    </w:p>
    <w:p w14:paraId="026BE3BD">
      <w:pPr>
        <w:pStyle w:val="15"/>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（7）区社会事务管理局负责陆生野生动物及木本植物物种安全事件的信息接收、报告、处理、统计分析、信息监控。</w:t>
      </w:r>
    </w:p>
    <w:p w14:paraId="455E220B">
      <w:pPr>
        <w:pStyle w:val="5"/>
        <w:shd w:val="clear"/>
        <w:rPr>
          <w:rFonts w:hint="default" w:ascii="Times New Roman" w:hAnsi="Times New Roman" w:cs="Times New Roman"/>
          <w:highlight w:val="none"/>
        </w:rPr>
      </w:pPr>
      <w:bookmarkStart w:id="67" w:name="_Toc17108"/>
      <w:r>
        <w:rPr>
          <w:rFonts w:hint="default" w:ascii="Times New Roman" w:hAnsi="Times New Roman" w:cs="Times New Roman"/>
          <w:highlight w:val="none"/>
        </w:rPr>
        <w:t>预防工作</w:t>
      </w:r>
      <w:bookmarkEnd w:id="67"/>
    </w:p>
    <w:p w14:paraId="63394CBB">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向环境排放污染物的企业事业单位，生产、贮存、经营、使用、运输危险物品的企业事业单位，产生、收集、贮存、运输、利用、处置危险废物的企业事业单位，以及其他可能发生突发环境事件的企业事业单位，应按相关规定和要求编制环境应急预案，组织评估小组对本单位编制的环境应急预案进行评估，并按规定在签署发布之日起20个工作日内，按规定报相关生态环境主管部门备案；应急预案至少每三年修订一次，必要时应当及时进行修订；定期进行应急演练，并积极配合有关部门组织的应急演练，在突发环境事件应急处置或应急演练结束后，及时总结分析应急预案适用情况。</w:t>
      </w:r>
    </w:p>
    <w:p w14:paraId="5EF4E002">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企业事业单位的环境应急预案包括综合环境应急预案、专项环境应急预案和现场处置预案。对环境风险种类较多、可能发生多种类型突发事件的，除编制综合环境应急预案外，还应编制相应的专项环境应急预案；对危险性较大的重点岗位，企业事业单位应当编制重点工作岗位的现场处置预案。</w:t>
      </w:r>
    </w:p>
    <w:p w14:paraId="12F56016">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可能发生突发环境事件的企业事业单位，应当定期检查本单位各项环境安全防范措施的落实情况，掌握并及时消除本单位存在的可能引发突发环境事件的环境污染隐患；对本单位可能存在的环境风险和采取预防措施的情况，应当及时向区生态环境分局报告。</w:t>
      </w:r>
    </w:p>
    <w:p w14:paraId="69A4B6C6">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工程建设、影视拍摄和文化体育等群体性活动有可能造成突发环境事件的，建设（主办）单位应当编制临时环境应急预案并报区生态环境分局备案。</w:t>
      </w:r>
    </w:p>
    <w:p w14:paraId="74445E1B">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区环境应急指挥部成员单位及有关单位，应按照各自职责开展突发环境事件的预防工作。</w:t>
      </w:r>
    </w:p>
    <w:p w14:paraId="0FAF7F30">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区生态环境分局会同相关部门组织开展环境安全检查，对重点领域、重点行业环境风险源进行排查、登记；加强集中式饮用水水源地环境风险排查和整治；建立突发环境事件风险评估体系和风险源的信息数据库，及时汇总分析突发环境事件隐患信息，预测突发环境事件发生的可能性，对可能发生的突发环境事件进行影响综合性评估和趋势分析。</w:t>
      </w:r>
    </w:p>
    <w:p w14:paraId="03EB8D93">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区生态环境分局重点加强环境风险评价的审查，将环境风险防范作为环评审批和环保“三同时”验收的重要内容。在环保规划管理、排污许可证管理、限期治理、区域（行业）限批、上市企业环保核查、环境执法检查、环境监测等各项环境管理制度中，全面落实防范环境风险的责任和要求，对存在环境安全隐患的高风险企业，按照相关法律法规要求限期整改，不具备整改条件的，报经有批准权的人民政府批准，责令停业、关闭。</w:t>
      </w:r>
    </w:p>
    <w:p w14:paraId="2B738B37">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cs="Times New Roman"/>
          <w:highlight w:val="none"/>
          <w:lang w:eastAsia="zh-CN"/>
        </w:rPr>
      </w:pPr>
      <w:r>
        <w:rPr>
          <w:rFonts w:hint="default" w:ascii="Times New Roman" w:hAnsi="Times New Roman" w:eastAsia="仿宋" w:cs="Times New Roman"/>
          <w:szCs w:val="28"/>
          <w:highlight w:val="none"/>
          <w:lang w:eastAsia="zh-CN"/>
        </w:rPr>
        <w:t>区管委会统筹协调与突发环境事件有关的其他突发公共事件的预防与应急措施，防止因其他突发公共事件次生或者因处置不当而引发突发环境事件；统筹安排应对突发环境事件所必需的设备和基础设施建设；整合环境监测信息资源，建立健全突发环境事件监测制度；将突发环境事件防范和应对工作纳入行政机关主要负责人和有关负责人年度绩效考核范围，建立应急管理工作相关指标体系，健全责任追究制度。</w:t>
      </w:r>
    </w:p>
    <w:p w14:paraId="52154164">
      <w:pPr>
        <w:pStyle w:val="5"/>
        <w:shd w:val="clear"/>
        <w:rPr>
          <w:rFonts w:hint="default" w:ascii="Times New Roman" w:hAnsi="Times New Roman" w:cs="Times New Roman"/>
          <w:highlight w:val="none"/>
        </w:rPr>
      </w:pPr>
      <w:bookmarkStart w:id="68" w:name="_Toc27364"/>
      <w:r>
        <w:rPr>
          <w:rFonts w:hint="default" w:ascii="Times New Roman" w:hAnsi="Times New Roman" w:cs="Times New Roman"/>
          <w:highlight w:val="none"/>
        </w:rPr>
        <w:t>预警</w:t>
      </w:r>
      <w:bookmarkEnd w:id="68"/>
      <w:r>
        <w:rPr>
          <w:rFonts w:hint="default" w:ascii="Times New Roman" w:hAnsi="Times New Roman" w:cs="Times New Roman"/>
          <w:highlight w:val="none"/>
        </w:rPr>
        <w:t>及措施</w:t>
      </w:r>
    </w:p>
    <w:p w14:paraId="51825493">
      <w:pPr>
        <w:pStyle w:val="6"/>
        <w:shd w:val="clear"/>
        <w:rPr>
          <w:rFonts w:hint="default" w:ascii="Times New Roman" w:hAnsi="Times New Roman" w:cs="Times New Roman"/>
          <w:highlight w:val="none"/>
          <w:lang w:bidi="ar"/>
        </w:rPr>
      </w:pPr>
      <w:bookmarkStart w:id="69" w:name="_Toc177553228"/>
      <w:bookmarkEnd w:id="69"/>
      <w:bookmarkStart w:id="70" w:name="_Toc177553233"/>
      <w:bookmarkEnd w:id="70"/>
      <w:bookmarkStart w:id="71" w:name="_Toc178258186"/>
      <w:bookmarkEnd w:id="71"/>
      <w:bookmarkStart w:id="72" w:name="_Toc178258191"/>
      <w:bookmarkEnd w:id="72"/>
      <w:bookmarkStart w:id="73" w:name="_Toc181279645"/>
      <w:bookmarkEnd w:id="73"/>
      <w:bookmarkStart w:id="74" w:name="_Toc181279650"/>
      <w:bookmarkEnd w:id="74"/>
      <w:r>
        <w:rPr>
          <w:rFonts w:hint="default" w:ascii="Times New Roman" w:hAnsi="Times New Roman" w:cs="Times New Roman"/>
          <w:highlight w:val="none"/>
          <w:lang w:bidi="ar"/>
        </w:rPr>
        <w:t>预警分级</w:t>
      </w:r>
      <w:r>
        <w:rPr>
          <w:rFonts w:hint="default" w:ascii="Times New Roman" w:hAnsi="Times New Roman" w:cs="Times New Roman"/>
          <w:highlight w:val="none"/>
          <w:lang w:val="en-US" w:eastAsia="zh-CN" w:bidi="ar"/>
        </w:rPr>
        <w:t>与预警发布</w:t>
      </w:r>
    </w:p>
    <w:p w14:paraId="5A727693">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按照突发环境事件发生的可能性大小、紧急程度和可能造成的危害程度，突发环境事件的预警级别由高到低分为Ⅰ级、Ⅱ级、Ⅲ级和Ⅳ级，分别用红色、橙色、黄色和蓝色标示。</w:t>
      </w:r>
    </w:p>
    <w:p w14:paraId="64F8334B">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红色（Ⅰ级）预警：情况危急，可能发生或引发特别重大突发环境事件的；或II级事件已经发生,可能进一步扩大影响范围，造成重大危害的。Ⅰ级预警报请省政府根据国务院授权发布。</w:t>
      </w:r>
    </w:p>
    <w:p w14:paraId="7ED252A2">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橙色（Ⅱ级）预警：情况紧急，可能发生或引发重大突发环境事件的；或Ⅲ级事件已经发生,可能进一步扩大影响范围，造成更大危害的。Ⅱ级预警报请省政府发布。</w:t>
      </w:r>
    </w:p>
    <w:p w14:paraId="672CE3B5">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黄色（Ⅲ级）预警：情况比较紧急，可能发生或引发较大突发环境事件的；或Ⅳ级事件已经发生，可能进一步扩大影响范围，造成较大危害的。Ⅲ级预警由市政府发布。</w:t>
      </w:r>
      <w:bookmarkStart w:id="502" w:name="_GoBack"/>
      <w:bookmarkEnd w:id="502"/>
    </w:p>
    <w:p w14:paraId="01957C17">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蓝色（Ⅳ级）预警：存在重大环境安全隐患，可能发生或引发突发环境事件的；或已经出现Ⅲ级事件的先兆，可能进一步扩大影响范围，造成公共危害的。Ⅳ级预警由区管委会发布。</w:t>
      </w:r>
    </w:p>
    <w:p w14:paraId="548A6720">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Ⅱ级以上预警信息，上报省人民政府同意后，由市现场指挥部总指挥签发；Ⅲ级预警信息，经市人民政府同意后，由市现场指挥部副总指挥签发；Ⅳ级预警信息，由</w:t>
      </w:r>
      <w:r>
        <w:rPr>
          <w:rFonts w:hint="default" w:ascii="Times New Roman" w:hAnsi="Times New Roman" w:eastAsia="仿宋" w:cs="Times New Roman"/>
          <w:sz w:val="28"/>
          <w:szCs w:val="28"/>
          <w:highlight w:val="none"/>
          <w:lang w:val="en-US" w:eastAsia="zh-CN"/>
        </w:rPr>
        <w:t>市突发环境事件现场指挥部和区环境应急指挥部负责发布</w:t>
      </w:r>
      <w:r>
        <w:rPr>
          <w:rFonts w:hint="default" w:ascii="Times New Roman" w:hAnsi="Times New Roman" w:eastAsia="仿宋" w:cs="Times New Roman"/>
          <w:szCs w:val="28"/>
          <w:highlight w:val="none"/>
          <w:lang w:eastAsia="zh-CN"/>
        </w:rPr>
        <w:t>。其他任何组织和个人不得向社会发布预警信息。</w:t>
      </w:r>
    </w:p>
    <w:p w14:paraId="0ADB4620">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预警信息应当包括发布机关、发布时间、可能发生的突发事件的类别、起始时间、可能影响范围、预警级别、警示事项、事态发展、相关措施、咨询电话等。</w:t>
      </w:r>
    </w:p>
    <w:p w14:paraId="5D43769D">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区管委会或其授权的相关部门，及时通过电视、广播、报纸、互联网、手机短信、当面告知等渠道或方式向本行政区域公众发布预警信息，并通报可能影响到的相关地区。</w:t>
      </w:r>
    </w:p>
    <w:p w14:paraId="4BE182D9">
      <w:pPr>
        <w:pStyle w:val="6"/>
        <w:shd w:val="clea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预警行动</w:t>
      </w:r>
    </w:p>
    <w:p w14:paraId="3EEBDFA8">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预警信息发布后，区管委会及其有关单位应当根据实际情况和预警分级原则，视情采取以下措施：</w:t>
      </w:r>
    </w:p>
    <w:p w14:paraId="70CD5341">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（1）根据突发环境事件的分级，及时向区</w:t>
      </w:r>
      <w:r>
        <w:rPr>
          <w:rFonts w:hint="default" w:ascii="Times New Roman" w:hAnsi="Times New Roman" w:eastAsia="仿宋" w:cs="Times New Roman"/>
          <w:szCs w:val="28"/>
          <w:highlight w:val="none"/>
          <w:lang w:val="en-US" w:eastAsia="zh-CN"/>
        </w:rPr>
        <w:t>环境应急</w:t>
      </w:r>
      <w:r>
        <w:rPr>
          <w:rFonts w:hint="default" w:ascii="Times New Roman" w:hAnsi="Times New Roman" w:eastAsia="仿宋" w:cs="Times New Roman"/>
          <w:szCs w:val="28"/>
          <w:highlight w:val="none"/>
          <w:lang w:eastAsia="zh-CN"/>
        </w:rPr>
        <w:t>指挥部报告突发环境事件基本情况和应急救援的进展情况；通知有关专家成立专家组，分析事件情况，并根据专家的建议，通知相关应急救援力量随时待命，为现场指挥部提供技术支持；派出相关应急救援小组赶赴现场开展应急处置。</w:t>
      </w:r>
    </w:p>
    <w:p w14:paraId="7C431E97">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（2）组织有关部门和机构、专业技术人员及专家，及时对预警信息进行分析研判，预估可能的影响范围和危害程度。</w:t>
      </w:r>
    </w:p>
    <w:p w14:paraId="1B9F4A26">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（3）立即启动相关应急预案。</w:t>
      </w:r>
    </w:p>
    <w:p w14:paraId="3796566D">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4）能够预警的突发环境事件即将发生或者发生的可能性增大时，区管委会应当向社会公开发布相应级别的警报，决定并宣布相关地区进入预警期，同时向市人民政府及市生态环境局报告，必要时可以越级上报，并向可能受到危害的毗邻或者相关的县（区）人民政府通报。</w:t>
      </w:r>
    </w:p>
    <w:p w14:paraId="740170F8">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（5）责令有关部门及时收集、报告相关信息，向社会公布反映突发环境事件信息的渠道，加强对突发环境事件发生、发展情况的监测、预报和预警工作。</w:t>
      </w:r>
    </w:p>
    <w:p w14:paraId="260C9AE3">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（6）责令应急救援队伍、负有特定职责的人员进入待命状态，并要求后备人员做好参加应急救援和处置工作的准备。</w:t>
      </w:r>
    </w:p>
    <w:p w14:paraId="25764929">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（7）转移、撤离或者疏散可能受到危害的人员，并进行妥善安置。</w:t>
      </w:r>
    </w:p>
    <w:p w14:paraId="5B37E2E2">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8）根据预警级别，针对突发环境事件可能造成的危害，区管委会或负有监管责任的部门可以对排放污染物可能导致事件发生的有关生产经营单位实行停运、限产、停产等相应措施，封闭、隔离或者限制使用有关场所，中止或限制可能导致危害扩大的行为和活动。</w:t>
      </w:r>
    </w:p>
    <w:p w14:paraId="15A4DF6E">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（9）调集突发环境事件应急所需物资和设备，做好应急保障工作。</w:t>
      </w:r>
    </w:p>
    <w:p w14:paraId="03CE96C7">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依法采取的预警措施所涉及的生产经营单位和个人，应当按照有关法律规定承担相应的突发环境事件应急义务。</w:t>
      </w:r>
    </w:p>
    <w:p w14:paraId="5107E032">
      <w:pPr>
        <w:pStyle w:val="6"/>
        <w:shd w:val="clea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预警级别的调整和预警解除</w:t>
      </w:r>
    </w:p>
    <w:p w14:paraId="2147C3A5">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val="en-US" w:eastAsia="zh-CN"/>
        </w:rPr>
        <w:t>区管委会</w:t>
      </w:r>
      <w:r>
        <w:rPr>
          <w:rFonts w:hint="default" w:ascii="Times New Roman" w:hAnsi="Times New Roman" w:eastAsia="仿宋" w:cs="Times New Roman"/>
          <w:szCs w:val="28"/>
          <w:highlight w:val="none"/>
          <w:lang w:eastAsia="zh-CN"/>
        </w:rPr>
        <w:t>应当根据事态的发展，按照有关规定适时调整预警级别，及时更新发布预警信息。</w:t>
      </w:r>
    </w:p>
    <w:p w14:paraId="6A11EDDB">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上级人民政府认为区管委会发布的预警信息不恰当的，区管委会改正或者上级人民政府直接发布有关预警信息。</w:t>
      </w:r>
    </w:p>
    <w:p w14:paraId="1307F674">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有事实证明不可能发生突发环境事件或者危险已经解除的，</w:t>
      </w:r>
      <w:r>
        <w:rPr>
          <w:rFonts w:hint="default" w:ascii="Times New Roman" w:hAnsi="Times New Roman" w:eastAsia="仿宋" w:cs="Times New Roman"/>
          <w:szCs w:val="28"/>
          <w:highlight w:val="none"/>
          <w:lang w:val="en-US" w:eastAsia="zh-CN"/>
        </w:rPr>
        <w:t>区管委会</w:t>
      </w:r>
      <w:r>
        <w:rPr>
          <w:rFonts w:hint="default" w:ascii="Times New Roman" w:hAnsi="Times New Roman" w:eastAsia="仿宋" w:cs="Times New Roman"/>
          <w:szCs w:val="28"/>
          <w:highlight w:val="none"/>
          <w:lang w:eastAsia="zh-CN"/>
        </w:rPr>
        <w:t>应当立即宣布解除警报，终止预警期，并解除已经采取的有关措施。</w:t>
      </w:r>
    </w:p>
    <w:p w14:paraId="573B4B32">
      <w:pPr>
        <w:pStyle w:val="6"/>
        <w:shd w:val="clea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预警支持系统</w:t>
      </w:r>
    </w:p>
    <w:p w14:paraId="3C35FE72">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1）建立环境安全预警系统。区生态环境分局逐步建设完善全区环境质量自动监测系统，加强环境监测数据传输与信息综合分析系统建设，实现环境监测的自动化、网络化和信息化。通过实时监控掌握重点饮用水水源地、河流、水库、湖泊水系、环境空气的污染因子的实时监控数据，加强对重点地区的土壤重金属污染水平监测，全面提升全区环境监测预警预报水平。</w:t>
      </w:r>
    </w:p>
    <w:p w14:paraId="720EEDA2">
      <w:pPr>
        <w:pStyle w:val="15"/>
        <w:keepNext w:val="0"/>
        <w:keepLines w:val="0"/>
        <w:ind w:firstLine="560"/>
        <w:rPr>
          <w:rFonts w:ascii="Times New Roman" w:hAnsi="Times New Roman" w:cs="Times New Roman"/>
        </w:rPr>
      </w:pPr>
      <w:r>
        <w:rPr>
          <w:rFonts w:hint="default" w:ascii="Times New Roman" w:hAnsi="Times New Roman" w:eastAsia="仿宋" w:cs="Times New Roman"/>
          <w:szCs w:val="28"/>
          <w:highlight w:val="none"/>
          <w:lang w:eastAsia="zh-CN"/>
        </w:rPr>
        <w:t>区生态环境分局会同有关部门负责建立包含突发事件预警系统、区域环境安全评价预警系统、辐射事件预警信息系统等在内的环境安全预警系统。一旦突发环境事件发生，监测数据应能及时反映污染状况。环境安全预警系统要预留接口，与有关单位实现互联互通。</w:t>
      </w:r>
    </w:p>
    <w:p w14:paraId="06C25C16">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2）建设环境应急资料库。区管委会应当建立本行政区域应急平台和统一的数据库，并纳入全市应急平台体系。针对突发环境事件应急的准备工作、应急监测、应急防护等活动，区管委会建立相应的应用子系统，提供准确丰富的专业知识资源。区管委会建立环境应急数据共享机制，实现环境应急资料库与其他人民政府部门相关业务系统的信息资源共享。</w:t>
      </w:r>
    </w:p>
    <w:p w14:paraId="0F616848">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（3）建设环境应急指挥技术平台。区管委会负责建立全区</w:t>
      </w:r>
      <w:r>
        <w:rPr>
          <w:rFonts w:hint="eastAsia" w:ascii="Times New Roman" w:hAnsi="Times New Roman" w:eastAsia="仿宋" w:cs="Times New Roman"/>
          <w:szCs w:val="28"/>
          <w:highlight w:val="none"/>
          <w:lang w:eastAsia="zh-CN"/>
        </w:rPr>
        <w:t>应</w:t>
      </w:r>
      <w:r>
        <w:rPr>
          <w:rFonts w:hint="default" w:ascii="Times New Roman" w:hAnsi="Times New Roman" w:eastAsia="仿宋" w:cs="Times New Roman"/>
          <w:szCs w:val="28"/>
          <w:highlight w:val="none"/>
          <w:lang w:eastAsia="zh-CN"/>
        </w:rPr>
        <w:t>急指挥平台体系和统一的数据库，并纳入市应急平台体系。区应急指挥平台体系承担突发事件的预测预警、信息报告、综合研判、辅助决策、指挥调度、异地会商、事后评估等功能。加强“一网五库”建设，建立健全环境应急工作联络网、救援专业队伍库、救援物资库、环境应急专家库、环境应急法规库、突发公共事件典型案例库。</w:t>
      </w:r>
    </w:p>
    <w:p w14:paraId="44604AF9">
      <w:pPr>
        <w:pStyle w:val="4"/>
        <w:shd w:val="clear"/>
        <w:rPr>
          <w:rFonts w:hint="default" w:ascii="Times New Roman" w:hAnsi="Times New Roman" w:cs="Times New Roman"/>
          <w:highlight w:val="none"/>
        </w:rPr>
      </w:pPr>
      <w:bookmarkStart w:id="75" w:name="_Toc3982"/>
      <w:bookmarkStart w:id="76" w:name="_Toc31409"/>
      <w:bookmarkStart w:id="77" w:name="_Toc27486"/>
      <w:bookmarkStart w:id="78" w:name="_Toc7587"/>
      <w:r>
        <w:rPr>
          <w:rFonts w:hint="default" w:ascii="Times New Roman" w:hAnsi="Times New Roman" w:cs="Times New Roman"/>
          <w:highlight w:val="none"/>
        </w:rPr>
        <w:t>应急处置</w:t>
      </w:r>
      <w:bookmarkEnd w:id="75"/>
      <w:bookmarkEnd w:id="76"/>
      <w:bookmarkEnd w:id="77"/>
      <w:bookmarkEnd w:id="78"/>
    </w:p>
    <w:p w14:paraId="7C79F468">
      <w:pPr>
        <w:pStyle w:val="5"/>
        <w:shd w:val="clear"/>
        <w:rPr>
          <w:rFonts w:hint="default" w:ascii="Times New Roman" w:hAnsi="Times New Roman" w:cs="Times New Roman"/>
          <w:highlight w:val="none"/>
        </w:rPr>
      </w:pPr>
      <w:bookmarkStart w:id="79" w:name="_Toc18416"/>
      <w:r>
        <w:rPr>
          <w:rFonts w:hint="default" w:ascii="Times New Roman" w:hAnsi="Times New Roman" w:cs="Times New Roman"/>
          <w:highlight w:val="none"/>
        </w:rPr>
        <w:t>分级响应</w:t>
      </w:r>
      <w:bookmarkEnd w:id="79"/>
    </w:p>
    <w:p w14:paraId="29DD4A31">
      <w:pPr>
        <w:pStyle w:val="6"/>
        <w:shd w:val="clear"/>
        <w:rPr>
          <w:rFonts w:hint="default" w:ascii="Times New Roman" w:hAnsi="Times New Roman" w:cs="Times New Roman"/>
          <w:highlight w:val="none"/>
          <w:lang w:bidi="ar"/>
        </w:rPr>
      </w:pPr>
      <w:bookmarkStart w:id="80" w:name="_Toc181279657"/>
      <w:bookmarkEnd w:id="80"/>
      <w:bookmarkStart w:id="81" w:name="_Toc178258205"/>
      <w:bookmarkEnd w:id="81"/>
      <w:bookmarkStart w:id="82" w:name="_Toc181279658"/>
      <w:bookmarkEnd w:id="82"/>
      <w:bookmarkStart w:id="83" w:name="_Toc177553247"/>
      <w:bookmarkEnd w:id="83"/>
      <w:bookmarkStart w:id="84" w:name="_Toc178258206"/>
      <w:bookmarkEnd w:id="84"/>
      <w:bookmarkStart w:id="85" w:name="_Toc177553248"/>
      <w:bookmarkEnd w:id="85"/>
      <w:r>
        <w:rPr>
          <w:rFonts w:hint="default" w:ascii="Times New Roman" w:hAnsi="Times New Roman" w:cs="Times New Roman"/>
          <w:highlight w:val="none"/>
          <w:lang w:bidi="ar"/>
        </w:rPr>
        <w:t>分级响应机制</w:t>
      </w:r>
    </w:p>
    <w:p w14:paraId="0B7AF2BB">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突发环境事件应急响应坚持属地为主的原则。按突发环境事件的可控性、严重程度和影响范围，突发环境事件的应急响应分为特别重大(Ⅰ级响应)、重大(Ⅱ级响应)、较大(Ⅲ级响应)、一般(Ⅳ级响应)四级。超出本级应急处置能力时，应及时请求上一级政府启动上一级应急预案。</w:t>
      </w:r>
    </w:p>
    <w:p w14:paraId="29721689">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I 级响应：初判发生特别重大突发环境事件时，由省指挥部立即组织指挥部成员和专家分析研判，对突发环境事件影响及其发展趋势进行综合评估，并报请省人民政府决定启动Ⅰ级应急响应，由省人民政府发布紧急动员令，向各有关单位发布启动相关应急程序的命令。省指挥部立即派出工作组赶赴事发现场开展应急处置工作，迅速将有关情况报告国务院及有关部门。涉及跨省行政区域、超出省人民政府处置能力或者需要由国务院负责处置的，报请国务院启动应急响应。</w:t>
      </w:r>
    </w:p>
    <w:p w14:paraId="7CC3C302">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Ⅱ级响应：初判发生重大突发环境事件时，由省指挥部立即组织指挥部成员和专家分析研判，对突发环境事件影响及其发展趋势进行综合评估，由指挥部总指挥决定启动Ⅱ级应急响应，向各有关单位发布启动相关应急程序的命令。省指挥部立即派出工作组赶赴事发现场开展应急处置工作，迅速将有关情况报告国务院及其有关部门。</w:t>
      </w:r>
    </w:p>
    <w:p w14:paraId="6685C74D">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Ⅲ级响应：初判发生较大突发环境事件时，由市现场指挥部立即组织各单位成员和专家分析研判，对突发环境事件影响及其发展趋势进行综合评估，由市现场指挥部总指挥决定启动Ⅲ级应急响应，向各有关单位发布启动相关应急程序的命令。</w:t>
      </w:r>
    </w:p>
    <w:p w14:paraId="726AB5D0">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Ⅳ级响应：初判发生一般突发环境事件时，区</w:t>
      </w:r>
      <w:r>
        <w:rPr>
          <w:rFonts w:hint="default" w:ascii="Times New Roman" w:hAnsi="Times New Roman" w:eastAsia="仿宋" w:cs="Times New Roman"/>
          <w:szCs w:val="28"/>
          <w:highlight w:val="none"/>
          <w:lang w:val="en-US" w:eastAsia="zh-CN"/>
        </w:rPr>
        <w:t>环境应急</w:t>
      </w:r>
      <w:r>
        <w:rPr>
          <w:rFonts w:hint="default" w:ascii="Times New Roman" w:hAnsi="Times New Roman" w:eastAsia="仿宋" w:cs="Times New Roman"/>
          <w:szCs w:val="28"/>
          <w:highlight w:val="none"/>
          <w:lang w:eastAsia="zh-CN"/>
        </w:rPr>
        <w:t>指挥部立即组织各单位成员和专家分析研判，对突发环境事件影响及其发展趋势进行综合评估，由区</w:t>
      </w:r>
      <w:r>
        <w:rPr>
          <w:rFonts w:hint="default" w:ascii="Times New Roman" w:hAnsi="Times New Roman" w:eastAsia="仿宋" w:cs="Times New Roman"/>
          <w:szCs w:val="28"/>
          <w:highlight w:val="none"/>
          <w:lang w:val="en-US" w:eastAsia="zh-CN"/>
        </w:rPr>
        <w:t>环境应急</w:t>
      </w:r>
      <w:r>
        <w:rPr>
          <w:rFonts w:hint="default" w:ascii="Times New Roman" w:hAnsi="Times New Roman" w:eastAsia="仿宋" w:cs="Times New Roman"/>
          <w:szCs w:val="28"/>
          <w:highlight w:val="none"/>
          <w:lang w:eastAsia="zh-CN"/>
        </w:rPr>
        <w:t>指挥部总指挥决定启动Ⅳ级应急响应，向各有关单位发布启动相关应急程序的命令。</w:t>
      </w:r>
    </w:p>
    <w:p w14:paraId="1A0CD15C">
      <w:pPr>
        <w:pStyle w:val="6"/>
        <w:shd w:val="clear"/>
        <w:rPr>
          <w:rFonts w:hint="default" w:ascii="Times New Roman" w:hAnsi="Times New Roman" w:cs="Times New Roman"/>
          <w:highlight w:val="none"/>
          <w:lang w:bidi="ar"/>
        </w:rPr>
      </w:pPr>
      <w:r>
        <w:rPr>
          <w:rFonts w:hint="default" w:ascii="Times New Roman" w:hAnsi="Times New Roman" w:cs="Times New Roman"/>
          <w:highlight w:val="none"/>
          <w:lang w:bidi="ar"/>
        </w:rPr>
        <w:t>分级响应的启动</w:t>
      </w:r>
    </w:p>
    <w:p w14:paraId="6F0BFD3F">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1）特别重大（Ⅰ级）、重大（Ⅱ级）、较大（Ⅲ级）响应。发生特别重大、重大、较大突发环境事件时，区环境应急指挥部在上级有关应急指挥机构统一领导和指挥下，做好事件应急处理工作，并及时向上级应急指挥机构和有关部门报告事件的应急处理工作进展情况。</w:t>
      </w:r>
    </w:p>
    <w:p w14:paraId="3B17AEEA">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w:t>
      </w:r>
      <w:r>
        <w:rPr>
          <w:rFonts w:hint="default" w:ascii="Times New Roman" w:hAnsi="Times New Roman" w:eastAsia="仿宋" w:cs="Times New Roman"/>
          <w:szCs w:val="28"/>
          <w:highlight w:val="none"/>
          <w:lang w:val="en-US" w:eastAsia="zh-CN"/>
        </w:rPr>
        <w:t>2</w:t>
      </w:r>
      <w:r>
        <w:rPr>
          <w:rFonts w:hint="default" w:ascii="Times New Roman" w:hAnsi="Times New Roman" w:eastAsia="仿宋" w:cs="Times New Roman"/>
          <w:szCs w:val="28"/>
          <w:highlight w:val="none"/>
          <w:lang w:eastAsia="zh-CN"/>
        </w:rPr>
        <w:t>）一般（Ⅳ级）响应。发生一般(Ⅳ级)突发环境事件时，由区</w:t>
      </w:r>
      <w:r>
        <w:rPr>
          <w:rFonts w:hint="default" w:ascii="Times New Roman" w:hAnsi="Times New Roman" w:eastAsia="仿宋" w:cs="Times New Roman"/>
          <w:szCs w:val="28"/>
          <w:highlight w:val="none"/>
          <w:lang w:val="en-US" w:eastAsia="zh-CN"/>
        </w:rPr>
        <w:t>环境应急</w:t>
      </w:r>
      <w:r>
        <w:rPr>
          <w:rFonts w:hint="default" w:ascii="Times New Roman" w:hAnsi="Times New Roman" w:eastAsia="仿宋" w:cs="Times New Roman"/>
          <w:szCs w:val="28"/>
          <w:highlight w:val="none"/>
          <w:lang w:eastAsia="zh-CN"/>
        </w:rPr>
        <w:t>指挥部总指挥负责启动一般(Ⅳ级)响应，区环境应急指挥部负责组织开展突发环境事件的应急处置工作，及时向区管委会、市生态环境局报告事件处置工作进展情况，并采取下列应急处置措施：</w:t>
      </w:r>
    </w:p>
    <w:p w14:paraId="026A4907">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①接报后，区环境应急指挥部组织对事件进行评估，并根据评估结果上报区管委会，以及通报指挥部成员单位，并提出启动区突发环境事件应急预案的建议；</w:t>
      </w:r>
    </w:p>
    <w:p w14:paraId="19F7089C">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②区环境应急指挥部各成员单位赶赴现场处理，组织应急救援，必要时调集事发地周边地区综合应急力量增援；</w:t>
      </w:r>
    </w:p>
    <w:p w14:paraId="3C25D178">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③区环境应急指挥部办公室实行24小时专人值班，随时掌握事件进展情况，向区环境应急指挥部报告；</w:t>
      </w:r>
    </w:p>
    <w:p w14:paraId="1FC7EA6A">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④区管委会及时向可能涉及的相邻县（区）通报情况；</w:t>
      </w:r>
    </w:p>
    <w:p w14:paraId="66B4087F">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⑤根据事件的发展，区管委会适时向公众通报事件处理情况；</w:t>
      </w:r>
    </w:p>
    <w:p w14:paraId="160A9AF9">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⑥有关部门和单位应当在区环境应急指挥部统一组织和指挥下，按照应急预案的分工，开展相应的应急处置工作。当突发环境事件超出区管委会应急处置能力时，由区管委会提出申请，市政府负责启动较大（Ⅲ级）响应。</w:t>
      </w:r>
    </w:p>
    <w:p w14:paraId="72FD7749">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w:t>
      </w:r>
      <w:r>
        <w:rPr>
          <w:rFonts w:hint="default" w:ascii="Times New Roman" w:hAnsi="Times New Roman" w:eastAsia="仿宋" w:cs="Times New Roman"/>
          <w:szCs w:val="28"/>
          <w:highlight w:val="none"/>
          <w:lang w:val="en-US" w:eastAsia="zh-CN"/>
        </w:rPr>
        <w:t>3</w:t>
      </w:r>
      <w:r>
        <w:rPr>
          <w:rFonts w:hint="default" w:ascii="Times New Roman" w:hAnsi="Times New Roman" w:eastAsia="仿宋" w:cs="Times New Roman"/>
          <w:szCs w:val="28"/>
          <w:highlight w:val="none"/>
          <w:lang w:eastAsia="zh-CN"/>
        </w:rPr>
        <w:t>）当一般突发环境事件超出区管委会应急处置能力时，应当在采取先期处置的同时，报请市人民政府组织处置。必要时，市现场指挥部可组织有关部门，调动应急救援队伍和专家组赶赴现场，为区环境应急指挥机构提供技术支持。</w:t>
      </w:r>
    </w:p>
    <w:p w14:paraId="52A45472">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rPr>
        <w:t>（</w:t>
      </w:r>
      <w:r>
        <w:rPr>
          <w:rFonts w:hint="default" w:ascii="Times New Roman" w:hAnsi="Times New Roman" w:eastAsia="仿宋" w:cs="Times New Roman"/>
          <w:szCs w:val="28"/>
          <w:highlight w:val="none"/>
          <w:lang w:val="en-US" w:eastAsia="zh-CN"/>
        </w:rPr>
        <w:t>4</w:t>
      </w:r>
      <w:r>
        <w:rPr>
          <w:rFonts w:hint="default" w:ascii="Times New Roman" w:hAnsi="Times New Roman" w:eastAsia="仿宋" w:cs="Times New Roman"/>
          <w:szCs w:val="28"/>
          <w:highlight w:val="none"/>
          <w:lang w:eastAsia="zh-CN"/>
        </w:rPr>
        <w:t>）突发环境事件由上级政府统一领导和组织处置的，区管委会负责做好先期处置和善后工作。</w:t>
      </w:r>
    </w:p>
    <w:p w14:paraId="5B6CA144">
      <w:pPr>
        <w:pStyle w:val="6"/>
        <w:shd w:val="clear"/>
        <w:rPr>
          <w:rFonts w:hint="default" w:ascii="Times New Roman" w:hAnsi="Times New Roman" w:cs="Times New Roman"/>
          <w:highlight w:val="none"/>
          <w:lang w:eastAsia="zh-CN" w:bidi="ar"/>
        </w:rPr>
      </w:pPr>
      <w:r>
        <w:rPr>
          <w:rFonts w:hint="default" w:ascii="Times New Roman" w:hAnsi="Times New Roman" w:cs="Times New Roman"/>
          <w:highlight w:val="none"/>
          <w:lang w:eastAsia="zh-CN" w:bidi="ar"/>
        </w:rPr>
        <w:t>响应级别的调整和响应解除</w:t>
      </w:r>
    </w:p>
    <w:p w14:paraId="5D5B0DD5">
      <w:pPr>
        <w:shd w:val="clear"/>
        <w:ind w:firstLine="560"/>
        <w:rPr>
          <w:rFonts w:hint="default" w:ascii="Times New Roman" w:hAnsi="Times New Roman" w:eastAsia="仿宋" w:cs="Times New Roman"/>
          <w:sz w:val="24"/>
          <w:szCs w:val="24"/>
          <w:highlight w:val="none"/>
          <w:lang w:eastAsia="zh-CN"/>
        </w:rPr>
      </w:pPr>
      <w:r>
        <w:rPr>
          <w:rFonts w:hint="default" w:ascii="Times New Roman" w:hAnsi="Times New Roman" w:eastAsia="仿宋" w:cs="Times New Roman"/>
          <w:szCs w:val="28"/>
          <w:highlight w:val="none"/>
          <w:lang w:eastAsia="zh-CN" w:bidi="ar"/>
        </w:rPr>
        <w:t>区管委会根据事态的发展情况和采取措施的效果适时调整响应级别。有事实证明突发环境事件已经解除的，应当解除响应，并解除相关措施。</w:t>
      </w:r>
    </w:p>
    <w:p w14:paraId="48A8E115">
      <w:pPr>
        <w:pStyle w:val="5"/>
        <w:shd w:val="clear"/>
        <w:bidi w:val="0"/>
        <w:rPr>
          <w:rFonts w:hint="default" w:ascii="Times New Roman" w:hAnsi="Times New Roman" w:cs="Times New Roman"/>
          <w:highlight w:val="none"/>
        </w:rPr>
      </w:pPr>
      <w:bookmarkStart w:id="86" w:name="_Toc29912"/>
      <w:r>
        <w:rPr>
          <w:rFonts w:hint="default" w:ascii="Times New Roman" w:hAnsi="Times New Roman" w:cs="Times New Roman"/>
          <w:highlight w:val="none"/>
        </w:rPr>
        <w:t>信息报告</w:t>
      </w:r>
      <w:bookmarkEnd w:id="86"/>
    </w:p>
    <w:p w14:paraId="27164D32">
      <w:pPr>
        <w:pStyle w:val="6"/>
        <w:shd w:val="clear"/>
        <w:bidi w:val="0"/>
        <w:rPr>
          <w:rFonts w:hint="default" w:ascii="Times New Roman" w:hAnsi="Times New Roman" w:cs="Times New Roman"/>
          <w:highlight w:val="none"/>
        </w:rPr>
      </w:pPr>
      <w:bookmarkStart w:id="87" w:name="_Toc181279663"/>
      <w:bookmarkEnd w:id="87"/>
      <w:bookmarkStart w:id="88" w:name="_Toc177553253"/>
      <w:bookmarkEnd w:id="88"/>
      <w:bookmarkStart w:id="89" w:name="_Toc178258211"/>
      <w:bookmarkEnd w:id="89"/>
      <w:r>
        <w:rPr>
          <w:rFonts w:hint="default" w:ascii="Times New Roman" w:hAnsi="Times New Roman" w:cs="Times New Roman"/>
          <w:highlight w:val="none"/>
        </w:rPr>
        <w:t>信息接报</w:t>
      </w:r>
    </w:p>
    <w:p w14:paraId="488757A8">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任何单位和个人有权向区管委会及区生态环境分局报告突发环境事件及隐患，有权向上级政府部门举报不履行或者不按规定履行突发环境事件应急处理职责的行为。</w:t>
      </w:r>
    </w:p>
    <w:p w14:paraId="0B40EEA9">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突发环境事件发生时，涉事企业事业单位或其他生产经营者应立即开展先期处置，并及时向区管委会、石化区应急救援基地五楼应急平台和区生态环境分局等相关单位报告，同时通报可能受到污染危害的单位和居民。区生态环境分局通过互联网信息监测、环境污染举报热线等多种渠道，加强对突发环境事件的信息收集，及时掌握突发环境事件发生情况。因生产安全事故、危险货物运输事故导致突发环境事件的，区应急管理局、区公安分局、</w:t>
      </w:r>
      <w:r>
        <w:rPr>
          <w:rFonts w:hint="default" w:ascii="Times New Roman" w:hAnsi="Times New Roman" w:eastAsia="仿宋" w:cs="Times New Roman"/>
          <w:color w:val="000000" w:themeColor="text1"/>
          <w:szCs w:val="28"/>
          <w:highlight w:val="none"/>
          <w:lang w:eastAsia="zh-CN"/>
          <w14:textFill>
            <w14:solidFill>
              <w14:schemeClr w14:val="tx1"/>
            </w14:solidFill>
          </w14:textFill>
        </w:rPr>
        <w:t>区社会事务管理局、</w:t>
      </w:r>
      <w:r>
        <w:rPr>
          <w:rFonts w:hint="default" w:ascii="Times New Roman" w:hAnsi="Times New Roman" w:eastAsia="仿宋" w:cs="Times New Roman"/>
          <w:szCs w:val="28"/>
          <w:highlight w:val="none"/>
          <w:lang w:eastAsia="zh-CN" w:bidi="ar"/>
        </w:rPr>
        <w:t>区交通运输和海洋经济局等部门接报后要及时通报区生态环境分局。其他单位在大气、水体、土壤监测过程中获得环境污染事件信息的，要及时向区生态环境分局通报（5573000）。</w:t>
      </w:r>
    </w:p>
    <w:p w14:paraId="348AAD89">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接报后，工作人员应记录好事件发生的时间、地点、单位名称、发生原因、污染物种类、影响区域、人员伤害、联系人及电话等情况，立即进行核实，并向</w:t>
      </w:r>
      <w:r>
        <w:rPr>
          <w:rFonts w:hint="default" w:ascii="Times New Roman" w:hAnsi="Times New Roman" w:eastAsia="仿宋" w:cs="Times New Roman"/>
          <w:szCs w:val="28"/>
          <w:highlight w:val="none"/>
          <w:lang w:val="en-US" w:eastAsia="zh-CN" w:bidi="ar"/>
        </w:rPr>
        <w:t>区总值班室</w:t>
      </w:r>
      <w:r>
        <w:rPr>
          <w:rFonts w:hint="default" w:ascii="Times New Roman" w:hAnsi="Times New Roman" w:eastAsia="仿宋" w:cs="Times New Roman"/>
          <w:szCs w:val="28"/>
          <w:highlight w:val="none"/>
          <w:lang w:eastAsia="zh-CN" w:bidi="ar"/>
        </w:rPr>
        <w:t>报告。</w:t>
      </w:r>
    </w:p>
    <w:p w14:paraId="6A97DB91">
      <w:pPr>
        <w:pStyle w:val="6"/>
        <w:shd w:val="clear"/>
        <w:rPr>
          <w:rFonts w:hint="default" w:ascii="Times New Roman" w:hAnsi="Times New Roman" w:cs="Times New Roman"/>
          <w:highlight w:val="none"/>
          <w:lang w:bidi="ar"/>
        </w:rPr>
      </w:pPr>
      <w:r>
        <w:rPr>
          <w:rFonts w:hint="default" w:ascii="Times New Roman" w:hAnsi="Times New Roman" w:cs="Times New Roman"/>
          <w:highlight w:val="none"/>
          <w:lang w:bidi="ar"/>
        </w:rPr>
        <w:t>信息报送时限和程序</w:t>
      </w:r>
    </w:p>
    <w:p w14:paraId="1AC31611">
      <w:pPr>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管委会依托应急平台体系，建立统一的突发环境事件信息报送系统，形成突发环境事件报送快速反应机制和舆情收集、分析机制。区生态环境分局在发现或者得知突发环境事件信息后，应当立即进行核实，对突发环境事件的性质和类别做出初步认定。</w:t>
      </w:r>
    </w:p>
    <w:p w14:paraId="3739A8C3">
      <w:pPr>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区生态环境分局应经核实在接报后30分钟内向区管委会（区总值班室），1小时内向市生态环境局报告，紧急情况来不及书面报告的，可先电话报告</w:t>
      </w:r>
      <w:r>
        <w:rPr>
          <w:rFonts w:hint="eastAsia" w:ascii="Times New Roman" w:hAnsi="Times New Roman" w:eastAsia="仿宋" w:cs="Times New Roman"/>
          <w:color w:val="000000" w:themeColor="text1"/>
          <w:szCs w:val="28"/>
          <w:highlight w:val="none"/>
          <w:lang w:eastAsia="zh-CN" w:bidi="ar"/>
          <w14:textFill>
            <w14:solidFill>
              <w14:schemeClr w14:val="tx1"/>
            </w14:solidFill>
          </w14:textFill>
        </w:rPr>
        <w:t>，并在30分钟内补报书面材料</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；区管委会应在接到报告后1小时内向市委市政府总值班室报告。</w:t>
      </w:r>
    </w:p>
    <w:p w14:paraId="25ABDA9D">
      <w:pPr>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突发环境事件处置过程中事件级别发生变化的，应当按照变化后的级别报告信息。</w:t>
      </w:r>
    </w:p>
    <w:p w14:paraId="16FF979F">
      <w:pPr>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发生无法判明等级的突发环境事件，区生态环境分局应当按照重大（II级）或者特别重大（I级）突发环境事件的报告程序上报。</w:t>
      </w:r>
    </w:p>
    <w:p w14:paraId="6EF11BE0">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highlight w:val="none"/>
          <w:lang w:eastAsia="zh-CN" w:bidi="ar"/>
        </w:rPr>
      </w:pPr>
      <w:r>
        <w:rPr>
          <w:rFonts w:hint="default" w:ascii="Times New Roman" w:hAnsi="Times New Roman" w:eastAsia="仿宋" w:cs="Times New Roman"/>
          <w:highlight w:val="none"/>
          <w:lang w:eastAsia="zh-CN" w:bidi="ar"/>
        </w:rPr>
        <w:t>（1）对饮用水水源保护区造成或者可能造成影响的；</w:t>
      </w:r>
    </w:p>
    <w:p w14:paraId="0044281E">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highlight w:val="none"/>
          <w:lang w:eastAsia="zh-CN" w:bidi="ar"/>
        </w:rPr>
      </w:pPr>
      <w:r>
        <w:rPr>
          <w:rFonts w:hint="default" w:ascii="Times New Roman" w:hAnsi="Times New Roman" w:eastAsia="仿宋" w:cs="Times New Roman"/>
          <w:highlight w:val="none"/>
          <w:lang w:eastAsia="zh-CN" w:bidi="ar"/>
        </w:rPr>
        <w:t>（2）涉及居民聚居区、学校、医院等敏感区域和敏感人群的；</w:t>
      </w:r>
    </w:p>
    <w:p w14:paraId="5BEF07D4">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highlight w:val="none"/>
          <w:lang w:eastAsia="zh-CN" w:bidi="ar"/>
        </w:rPr>
      </w:pPr>
      <w:r>
        <w:rPr>
          <w:rFonts w:hint="default" w:ascii="Times New Roman" w:hAnsi="Times New Roman" w:eastAsia="仿宋" w:cs="Times New Roman"/>
          <w:highlight w:val="none"/>
          <w:lang w:eastAsia="zh-CN" w:bidi="ar"/>
        </w:rPr>
        <w:t>（3）涉及重金属或者类金属污染的；</w:t>
      </w:r>
    </w:p>
    <w:p w14:paraId="07E38C36">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highlight w:val="none"/>
          <w:lang w:eastAsia="zh-CN" w:bidi="ar"/>
        </w:rPr>
      </w:pPr>
      <w:r>
        <w:rPr>
          <w:rFonts w:hint="default" w:ascii="Times New Roman" w:hAnsi="Times New Roman" w:eastAsia="仿宋" w:cs="Times New Roman"/>
          <w:highlight w:val="none"/>
          <w:lang w:eastAsia="zh-CN" w:bidi="ar"/>
        </w:rPr>
        <w:t>（4）因环境污染引发群体性事件，或者社会影响较大的；</w:t>
      </w:r>
    </w:p>
    <w:p w14:paraId="73413326">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highlight w:val="none"/>
          <w:lang w:eastAsia="zh-CN" w:bidi="ar"/>
        </w:rPr>
      </w:pPr>
      <w:r>
        <w:rPr>
          <w:rFonts w:hint="default" w:ascii="Times New Roman" w:hAnsi="Times New Roman" w:eastAsia="仿宋" w:cs="Times New Roman"/>
          <w:highlight w:val="none"/>
          <w:lang w:eastAsia="zh-CN" w:bidi="ar"/>
        </w:rPr>
        <w:t>（5）区生态环境分局认为有必要报告的其他突发环境事件。</w:t>
      </w:r>
    </w:p>
    <w:p w14:paraId="3EE079DB">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highlight w:val="none"/>
          <w:lang w:eastAsia="zh-CN" w:bidi="ar"/>
        </w:rPr>
      </w:pPr>
      <w:r>
        <w:rPr>
          <w:rFonts w:hint="default" w:ascii="Times New Roman" w:hAnsi="Times New Roman" w:eastAsia="仿宋" w:cs="Times New Roman"/>
          <w:highlight w:val="none"/>
          <w:lang w:eastAsia="zh-CN" w:bidi="ar"/>
        </w:rPr>
        <w:t>市生态环境局先于区生态环境分局获悉突发环境事件信息的，区生态环境分局</w:t>
      </w:r>
      <w:r>
        <w:rPr>
          <w:rFonts w:hint="default" w:ascii="Times New Roman" w:hAnsi="Times New Roman" w:eastAsia="仿宋" w:cs="Times New Roman"/>
          <w:highlight w:val="none"/>
          <w:lang w:val="en-US" w:eastAsia="zh-CN" w:bidi="ar"/>
        </w:rPr>
        <w:t>将</w:t>
      </w:r>
      <w:r>
        <w:rPr>
          <w:rFonts w:hint="default" w:ascii="Times New Roman" w:hAnsi="Times New Roman" w:eastAsia="仿宋" w:cs="Times New Roman"/>
          <w:highlight w:val="none"/>
          <w:lang w:eastAsia="zh-CN" w:bidi="ar"/>
        </w:rPr>
        <w:t>按市生态环境局要求报告相关信息。</w:t>
      </w:r>
    </w:p>
    <w:p w14:paraId="34391A2D">
      <w:pPr>
        <w:pStyle w:val="15"/>
        <w:keepNext w:val="0"/>
        <w:keepLines w:val="0"/>
        <w:pageBreakBefore w:val="0"/>
        <w:widowControl w:val="0"/>
        <w:shd w:val="clear"/>
        <w:kinsoku/>
        <w:wordWrap/>
        <w:overflowPunct/>
        <w:topLinePunct w:val="0"/>
        <w:autoSpaceDE w:val="0"/>
        <w:autoSpaceDN w:val="0"/>
        <w:bidi w:val="0"/>
        <w:adjustRightInd/>
        <w:snapToGrid/>
        <w:ind w:firstLine="560"/>
        <w:textAlignment w:val="auto"/>
        <w:rPr>
          <w:rFonts w:hint="default" w:ascii="Times New Roman" w:hAnsi="Times New Roman" w:eastAsia="仿宋" w:cs="Times New Roman"/>
          <w:highlight w:val="none"/>
          <w:lang w:eastAsia="zh-CN" w:bidi="ar"/>
        </w:rPr>
      </w:pPr>
      <w:r>
        <w:rPr>
          <w:rFonts w:hint="default" w:ascii="Times New Roman" w:hAnsi="Times New Roman" w:eastAsia="仿宋" w:cs="Times New Roman"/>
          <w:highlight w:val="none"/>
          <w:lang w:eastAsia="zh-CN" w:bidi="ar"/>
        </w:rPr>
        <w:t>敏感性突发环境事件信息，不受突发环境事件分级标准限制，事发地人民政府应当立即上报省人民政府及省生态环境厅。</w:t>
      </w:r>
    </w:p>
    <w:p w14:paraId="0F5A0FCF">
      <w:pPr>
        <w:pStyle w:val="6"/>
        <w:shd w:val="clear"/>
        <w:rPr>
          <w:rFonts w:hint="default" w:ascii="Times New Roman" w:hAnsi="Times New Roman" w:cs="Times New Roman"/>
          <w:highlight w:val="none"/>
          <w:lang w:eastAsia="zh-CN" w:bidi="ar"/>
        </w:rPr>
      </w:pPr>
      <w:r>
        <w:rPr>
          <w:rFonts w:hint="default" w:ascii="Times New Roman" w:hAnsi="Times New Roman" w:cs="Times New Roman"/>
          <w:highlight w:val="none"/>
          <w:lang w:eastAsia="zh-CN" w:bidi="ar"/>
        </w:rPr>
        <w:t>突发环境事件报告方式与内容</w:t>
      </w:r>
    </w:p>
    <w:p w14:paraId="61333347">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突发环境事件的报告分为初报、续报和处理结果报告。</w:t>
      </w:r>
    </w:p>
    <w:p w14:paraId="75416F4E">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初报在发现或者得知突发环境事件后首次上报；续报在查清有关基本情况、事件发展情况后随时上报；处理结果报告在突发环境事件处理完毕后上报。</w:t>
      </w:r>
    </w:p>
    <w:p w14:paraId="0376E93A">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初报应当报告突发环境事件的发生时间、地点、信息来源、事件起因和性质、基本过程、主要污染物和数量、监测数据、人员受害情况、饮用水水源地等环境敏感点受影响情况、事件发展趋势、处置情况、拟采取的措施以及下一步工作建议等初步情况，并提供可能受到突发环境事件影响的环境敏感点的分布示意图。</w:t>
      </w:r>
    </w:p>
    <w:p w14:paraId="4628C23F">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续报应当在初报的基础上，报告有关处置进展情况。</w:t>
      </w:r>
    </w:p>
    <w:p w14:paraId="61822042">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处理结果报告应当在初报和续报的基础上，报告处理突发环境事件的措施、过程和结果，突发环境事件潜在或者间接危害以及损失、社会影响、处理后的遗留问题、责任追究等详细情况。</w:t>
      </w:r>
    </w:p>
    <w:p w14:paraId="0BEF2591">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突发环境事件信息应当采用传真、网络、邮寄和面呈等方式书面报告。情况紧急时，初报可通过电话报告，但应当及时补充书面报告。</w:t>
      </w:r>
    </w:p>
    <w:p w14:paraId="0D9CF8C3">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书面报告中应当载明突发环境事件报告单位、报告签发人、联系人及联系方式等内容，并尽可能提供地图、图片以及相关的多媒体资料。报告上应注明突发环境事件的等级。</w:t>
      </w:r>
    </w:p>
    <w:p w14:paraId="7CAB15E9">
      <w:pPr>
        <w:shd w:val="clear"/>
        <w:ind w:firstLine="560"/>
        <w:rPr>
          <w:rFonts w:hint="default" w:ascii="Times New Roman" w:hAnsi="Times New Roman" w:eastAsia="仿宋" w:cs="Times New Roman"/>
          <w:sz w:val="32"/>
          <w:szCs w:val="24"/>
          <w:highlight w:val="none"/>
          <w:lang w:eastAsia="zh-CN"/>
        </w:rPr>
      </w:pPr>
      <w:r>
        <w:rPr>
          <w:rFonts w:hint="default" w:ascii="Times New Roman" w:hAnsi="Times New Roman" w:eastAsia="仿宋" w:cs="Times New Roman"/>
          <w:szCs w:val="28"/>
          <w:highlight w:val="none"/>
          <w:lang w:eastAsia="zh-CN" w:bidi="ar"/>
        </w:rPr>
        <w:t>如果发生初期无法按突发环境事件分级标准确认等级时，报告上应注明初步判断的可能等级。随着事件的续报，可视情况核定突发环境事件等级并报告应报送的部门。</w:t>
      </w:r>
    </w:p>
    <w:p w14:paraId="0A2D9EF9">
      <w:pPr>
        <w:pStyle w:val="6"/>
        <w:shd w:val="clear"/>
        <w:rPr>
          <w:rFonts w:hint="default" w:ascii="Times New Roman" w:hAnsi="Times New Roman" w:cs="Times New Roman"/>
          <w:highlight w:val="none"/>
          <w:lang w:bidi="ar"/>
        </w:rPr>
      </w:pPr>
      <w:r>
        <w:rPr>
          <w:rFonts w:hint="default" w:ascii="Times New Roman" w:hAnsi="Times New Roman" w:cs="Times New Roman"/>
          <w:highlight w:val="none"/>
          <w:lang w:bidi="ar"/>
        </w:rPr>
        <w:t>信息通报</w:t>
      </w:r>
    </w:p>
    <w:p w14:paraId="3A13B783">
      <w:pPr>
        <w:shd w:val="clear"/>
        <w:ind w:firstLine="560"/>
        <w:rPr>
          <w:rFonts w:hint="default" w:ascii="Times New Roman" w:hAnsi="Times New Roman" w:eastAsia="仿宋" w:cs="Times New Roman"/>
          <w:szCs w:val="28"/>
          <w:highlight w:val="none"/>
          <w:lang w:eastAsia="zh-CN"/>
        </w:rPr>
      </w:pPr>
      <w:r>
        <w:rPr>
          <w:rFonts w:hint="default" w:ascii="Times New Roman" w:hAnsi="Times New Roman" w:eastAsia="仿宋" w:cs="Times New Roman"/>
          <w:szCs w:val="28"/>
          <w:highlight w:val="none"/>
          <w:lang w:eastAsia="zh-CN" w:bidi="ar"/>
        </w:rPr>
        <w:t>突发环境事件已经或者可能涉及相邻行政区域的，区生态环境分局应当及时通报相邻区域同级生态环境部门，并向区管委会提出向相邻区域政府通报的建议。接到通报的生态环境部门应当及时调查了解情况，并按照相关规定报告突发环境事件信息。</w:t>
      </w:r>
    </w:p>
    <w:p w14:paraId="14F39D22">
      <w:pPr>
        <w:pStyle w:val="6"/>
        <w:shd w:val="clear"/>
        <w:rPr>
          <w:rFonts w:hint="default" w:ascii="Times New Roman" w:hAnsi="Times New Roman" w:cs="Times New Roman"/>
          <w:highlight w:val="none"/>
          <w:lang w:bidi="ar"/>
        </w:rPr>
      </w:pPr>
      <w:r>
        <w:rPr>
          <w:rFonts w:hint="default" w:ascii="Times New Roman" w:hAnsi="Times New Roman" w:cs="Times New Roman"/>
          <w:highlight w:val="none"/>
          <w:lang w:bidi="ar"/>
        </w:rPr>
        <w:t>特殊情况的信息处理</w:t>
      </w:r>
    </w:p>
    <w:p w14:paraId="2A99BDCA">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如果环境污染事件的伤亡、失踪、被困人员中有境外人员，或者事件可能影响到境外，需要向香港、澳门、台湾地区有关机构或有关国家进行通报时，由区管委会依据《惠州市涉外（港、澳、台）突发事件应急预案》处置。</w:t>
      </w:r>
    </w:p>
    <w:p w14:paraId="5634F1C2">
      <w:pPr>
        <w:pStyle w:val="5"/>
        <w:shd w:val="clear"/>
        <w:rPr>
          <w:rFonts w:hint="default" w:ascii="Times New Roman" w:hAnsi="Times New Roman" w:cs="Times New Roman"/>
          <w:highlight w:val="none"/>
        </w:rPr>
      </w:pPr>
      <w:bookmarkStart w:id="90" w:name="_Toc20581"/>
      <w:r>
        <w:rPr>
          <w:rFonts w:hint="default" w:ascii="Times New Roman" w:hAnsi="Times New Roman" w:cs="Times New Roman"/>
          <w:highlight w:val="none"/>
        </w:rPr>
        <w:t>先期处置</w:t>
      </w:r>
      <w:bookmarkEnd w:id="90"/>
    </w:p>
    <w:p w14:paraId="00A8904C">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企业事业单位发生事故或其他突发性事件，造成或者可能造成突发环境事件的，应当立即启动本单位的突发环境事件应急预案，采取应急措施，迅速切断和控制污染源，防止污染蔓延扩散；做好有毒有害物质和消防废水、废液等收集、清理和安全处置工作。并同时报告区生态环境分局等相关部门。</w:t>
      </w:r>
    </w:p>
    <w:p w14:paraId="0A0CCC2F">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事发地居委会、村委会和其他组织应当按照当地政府的决定、命令，进行宣传动员，组织群众开展自救和互救，协助维护社会秩序。</w:t>
      </w:r>
    </w:p>
    <w:p w14:paraId="10A061F9">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街道办事处调动应急救援力量，采取措施控制事态发展，组织开展应急救援和处置工作，并及时向区管委会报告。</w:t>
      </w:r>
    </w:p>
    <w:p w14:paraId="0D42A985">
      <w:pPr>
        <w:pStyle w:val="5"/>
        <w:shd w:val="clear"/>
        <w:rPr>
          <w:rFonts w:hint="default" w:ascii="Times New Roman" w:hAnsi="Times New Roman" w:cs="Times New Roman"/>
          <w:highlight w:val="none"/>
        </w:rPr>
      </w:pPr>
      <w:bookmarkStart w:id="91" w:name="_Toc10656"/>
      <w:r>
        <w:rPr>
          <w:rFonts w:hint="default" w:ascii="Times New Roman" w:hAnsi="Times New Roman" w:cs="Times New Roman"/>
          <w:highlight w:val="none"/>
        </w:rPr>
        <w:t>现场处置</w:t>
      </w:r>
      <w:bookmarkEnd w:id="91"/>
    </w:p>
    <w:p w14:paraId="105160F4">
      <w:pPr>
        <w:pStyle w:val="6"/>
        <w:shd w:val="clear"/>
        <w:rPr>
          <w:rFonts w:hint="default" w:ascii="Times New Roman" w:hAnsi="Times New Roman" w:cs="Times New Roman"/>
          <w:highlight w:val="none"/>
          <w:lang w:bidi="ar"/>
        </w:rPr>
      </w:pPr>
      <w:bookmarkStart w:id="92" w:name="_Toc178258220"/>
      <w:bookmarkEnd w:id="92"/>
      <w:bookmarkStart w:id="93" w:name="_Toc178258219"/>
      <w:bookmarkEnd w:id="93"/>
      <w:bookmarkStart w:id="94" w:name="_Toc177553261"/>
      <w:bookmarkEnd w:id="94"/>
      <w:bookmarkStart w:id="95" w:name="_Toc177553262"/>
      <w:bookmarkEnd w:id="95"/>
      <w:bookmarkStart w:id="96" w:name="_Toc181279672"/>
      <w:bookmarkEnd w:id="96"/>
      <w:bookmarkStart w:id="97" w:name="_Toc181279671"/>
      <w:bookmarkEnd w:id="97"/>
      <w:r>
        <w:rPr>
          <w:rFonts w:hint="default" w:ascii="Times New Roman" w:hAnsi="Times New Roman" w:cs="Times New Roman"/>
          <w:highlight w:val="none"/>
          <w:lang w:bidi="ar"/>
        </w:rPr>
        <w:t>指挥和协调机制</w:t>
      </w:r>
    </w:p>
    <w:p w14:paraId="5BFC9D4C">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进入Ⅰ、Ⅱ、Ⅲ级响应后，区环境应急指挥部在国家、省、市应急指挥机构的统一领导和指挥下，按照预案组织相关应急救援力量实施应急救援。</w:t>
      </w:r>
    </w:p>
    <w:p w14:paraId="65148705">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进入Ⅳ级响应，有关部门、单位在区环境应急指挥部的统一指挥下，密切配合，共同实施救援和紧急处理行动。</w:t>
      </w:r>
    </w:p>
    <w:p w14:paraId="4E7E502D">
      <w:pPr>
        <w:shd w:val="clear"/>
        <w:ind w:firstLine="560"/>
        <w:rPr>
          <w:rFonts w:hint="default" w:ascii="Times New Roman" w:hAnsi="Times New Roman" w:eastAsia="仿宋" w:cs="Times New Roman"/>
          <w:szCs w:val="28"/>
          <w:highlight w:val="none"/>
          <w:lang w:eastAsia="zh-CN" w:bidi="ar"/>
        </w:rPr>
      </w:pPr>
      <w:r>
        <w:rPr>
          <w:rFonts w:hint="default" w:ascii="Times New Roman" w:hAnsi="Times New Roman" w:eastAsia="仿宋" w:cs="Times New Roman"/>
          <w:szCs w:val="28"/>
          <w:highlight w:val="none"/>
          <w:lang w:eastAsia="zh-CN" w:bidi="ar"/>
        </w:rPr>
        <w:t>有关部门和单位应及时、主动向区环境应急指挥部提供应急救援有关的基础资料、事件发生前的有关监管检查资料，供区环境应急指挥部研究救援和处置方案时参考。</w:t>
      </w:r>
    </w:p>
    <w:p w14:paraId="22C7C792">
      <w:pPr>
        <w:pStyle w:val="6"/>
        <w:shd w:val="clear"/>
        <w:rPr>
          <w:rFonts w:hint="default" w:ascii="Times New Roman" w:hAnsi="Times New Roman" w:cs="Times New Roman"/>
          <w:highlight w:val="none"/>
          <w:lang w:bidi="ar"/>
        </w:rPr>
      </w:pPr>
      <w:r>
        <w:rPr>
          <w:rFonts w:hint="default" w:ascii="Times New Roman" w:hAnsi="Times New Roman" w:cs="Times New Roman"/>
          <w:highlight w:val="none"/>
          <w:lang w:bidi="ar"/>
        </w:rPr>
        <w:t>现场应急处置工作</w:t>
      </w:r>
    </w:p>
    <w:p w14:paraId="46F45A1E">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现场指挥部负责组织协调突发环境事件的现场应急处置工作。主要包括：</w:t>
      </w:r>
    </w:p>
    <w:p w14:paraId="54D7092B">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（1）提出现场应急行动原则要求。</w:t>
      </w:r>
    </w:p>
    <w:p w14:paraId="4099DBB5">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（2）派出有关专家和人员参与现场应急处置指挥工作，协助现场指挥工作的开展。</w:t>
      </w:r>
    </w:p>
    <w:p w14:paraId="47208EC2">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（3）协调各级、各专业应急力量实施应急支援行动。必要时，征用突发环境事件社会应急救援队伍。</w:t>
      </w:r>
    </w:p>
    <w:p w14:paraId="03BC0B4B">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（4）协调受威胁的周边地区危险源的监控工作。</w:t>
      </w:r>
    </w:p>
    <w:p w14:paraId="2518AA11">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（5）协调建立现场警戒区和交通管制区域，确定重点防护区域。</w:t>
      </w:r>
    </w:p>
    <w:p w14:paraId="7FC7D06F">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（6）根据突发环境事件的性质、特点，通过报纸、广播、电视、网络和通讯等方式告知单位和公民应采取的安全防护措施。</w:t>
      </w:r>
    </w:p>
    <w:p w14:paraId="0B521E24">
      <w:pPr>
        <w:shd w:val="clear"/>
        <w:ind w:firstLine="560"/>
        <w:rPr>
          <w:rFonts w:hint="default" w:ascii="Times New Roman" w:hAnsi="Times New Roman" w:eastAsia="仿宋" w:cs="Times New Roman"/>
          <w:color w:val="000000" w:themeColor="text1"/>
          <w:szCs w:val="28"/>
          <w:highlight w:val="none"/>
          <w:lang w:eastAsia="zh-CN"/>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（7）根据事发时当地的气象、地理环境、人员密集度等，确定受到威胁的人员的疏散和撤离的时间和方式。</w:t>
      </w:r>
    </w:p>
    <w:p w14:paraId="593A1A28">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（8）按照本预案规定及时报告信息。</w:t>
      </w:r>
    </w:p>
    <w:p w14:paraId="12AEA53C">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现场指挥部按需要下设应急监测组、排查巡查组、信息宣传组、供水和调水事务组、交通和安全组、后勤和医疗保障组、事件调查组、专家组、应急救援队伍。</w:t>
      </w:r>
    </w:p>
    <w:p w14:paraId="068B3A4F">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（1）交通和安全组：负责维护事发地的交通秩序、治安秩序和社会稳定，疏散和撤离受影响的人群，由区公安分局负责，区交通运输和海洋经济局等组成。</w:t>
      </w:r>
    </w:p>
    <w:p w14:paraId="220B16AB">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（2）排查巡查组：负责污染源排查与监管，由区生态环境分局牵头，区公安分局、</w:t>
      </w:r>
      <w:r>
        <w:rPr>
          <w:rFonts w:hint="default" w:ascii="Times New Roman" w:hAnsi="Times New Roman" w:eastAsia="仿宋" w:cs="Times New Roman"/>
          <w:color w:val="000000" w:themeColor="text1"/>
          <w:szCs w:val="28"/>
          <w:highlight w:val="none"/>
          <w:lang w:val="en-US" w:eastAsia="zh-CN" w:bidi="ar"/>
          <w14:textFill>
            <w14:solidFill>
              <w14:schemeClr w14:val="tx1"/>
            </w14:solidFill>
          </w14:textFill>
        </w:rPr>
        <w:t>街道办事处</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等单位组成。</w:t>
      </w:r>
    </w:p>
    <w:p w14:paraId="3B50A521">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（3）应急监测组：负责环境应急监测相关工作，主要由区生态环境分局负责，区交通运输和海洋经济局、区社会事务管理局、</w:t>
      </w:r>
      <w:r>
        <w:rPr>
          <w:rFonts w:hint="eastAsia" w:ascii="Times New Roman" w:hAnsi="Times New Roman" w:eastAsia="仿宋" w:cs="Times New Roman"/>
          <w:color w:val="000000" w:themeColor="text1"/>
          <w:szCs w:val="28"/>
          <w:highlight w:val="none"/>
          <w:lang w:eastAsia="zh-CN" w:bidi="ar"/>
          <w14:textFill>
            <w14:solidFill>
              <w14:schemeClr w14:val="tx1"/>
            </w14:solidFill>
          </w14:textFill>
        </w:rPr>
        <w:t>惠州</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大亚湾海事处等组成。</w:t>
      </w:r>
    </w:p>
    <w:p w14:paraId="79068E5E">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（4）供水和调水事务组：由区社会事务管理局负责水利调度，溢源净水公司负责自来水水质监控。</w:t>
      </w:r>
    </w:p>
    <w:p w14:paraId="66F97731">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（5）后勤和医疗保障组：</w:t>
      </w:r>
      <w:r>
        <w:rPr>
          <w:rFonts w:hint="default" w:ascii="Times New Roman" w:hAnsi="Times New Roman" w:eastAsia="仿宋" w:cs="Times New Roman"/>
          <w:color w:val="000000" w:themeColor="text1"/>
          <w:szCs w:val="28"/>
          <w:highlight w:val="none"/>
          <w:lang w:val="en-US" w:eastAsia="zh-CN" w:bidi="ar"/>
          <w14:textFill>
            <w14:solidFill>
              <w14:schemeClr w14:val="tx1"/>
            </w14:solidFill>
          </w14:textFill>
        </w:rPr>
        <w:t>负责现场后勤保障；负责组织开展伤病员医疗救治、应急心理援助，指导和协助开展受污染人员的去污洗消工作，提出保护公众健康的措施建议。主要由区管委会、区教育文化卫生健康局负责。</w:t>
      </w:r>
    </w:p>
    <w:p w14:paraId="4A75E201">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（6）信息宣传组：负责信息收集、整理、报送和新闻发布，由区综合办公室（宣传统战办公室）牵头，区生态环境分局、区应急管理局等单位组成。</w:t>
      </w:r>
    </w:p>
    <w:p w14:paraId="61E77F40">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（7）事件调查组：负责查明环境事件发生的原因，提出对责任部门和人员的处理建议，由区生态环境分局、区社会事务管理局等相关部门组成。</w:t>
      </w:r>
    </w:p>
    <w:p w14:paraId="5513A66B">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（8）专家组：参与事件处置、调查和评估，为应急指挥决策提供技术支持等。主要由生态环境、化工、水利、工程、卫生、气象等方面的专家组成。</w:t>
      </w:r>
    </w:p>
    <w:p w14:paraId="3270A6F4">
      <w:pPr>
        <w:pStyle w:val="15"/>
        <w:shd w:val="clear"/>
        <w:ind w:firstLine="560"/>
        <w:rPr>
          <w:rFonts w:hint="default" w:ascii="Times New Roman" w:hAnsi="Times New Roman" w:cs="Times New Roman"/>
          <w:highlight w:val="none"/>
          <w:lang w:eastAsia="zh-CN" w:bidi="ar"/>
        </w:rPr>
      </w:pPr>
      <w:r>
        <w:rPr>
          <w:rFonts w:hint="default" w:ascii="Times New Roman" w:hAnsi="Times New Roman" w:cs="Times New Roman"/>
          <w:highlight w:val="none"/>
          <w:lang w:eastAsia="zh-CN" w:bidi="ar"/>
        </w:rPr>
        <w:t>（9）</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应急救援队伍：负责应急救援工作。主要包括消防救援队伍、专业应急救援队伍、企业应急救援队伍、社会力量等，必要时请解放军、武警部队参加。</w:t>
      </w:r>
    </w:p>
    <w:p w14:paraId="35005274">
      <w:pPr>
        <w:pStyle w:val="5"/>
        <w:shd w:val="clear"/>
        <w:rPr>
          <w:rFonts w:hint="default" w:ascii="Times New Roman" w:hAnsi="Times New Roman" w:cs="Times New Roman"/>
          <w:highlight w:val="none"/>
        </w:rPr>
      </w:pPr>
      <w:bookmarkStart w:id="98" w:name="_Toc25147"/>
      <w:r>
        <w:rPr>
          <w:rFonts w:hint="default" w:ascii="Times New Roman" w:hAnsi="Times New Roman" w:cs="Times New Roman"/>
          <w:highlight w:val="none"/>
        </w:rPr>
        <w:t>环境应急监测</w:t>
      </w:r>
      <w:bookmarkEnd w:id="98"/>
    </w:p>
    <w:p w14:paraId="57607C06">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区生态环境监测站负责大亚湾开发区及近岸海域环境应急监测工作，为突发环境事件应急处置决策提供监测数据支持。</w:t>
      </w:r>
    </w:p>
    <w:p w14:paraId="2C027323">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区生态环境监测站在环境应急监测中的职责为：</w:t>
      </w:r>
    </w:p>
    <w:p w14:paraId="0FA96C74">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（1）依据《突发环境事件应急监测技术规范（HJ 589-2021）》，加强大气、水体、土壤等应急监测工作，根据事件污染物的性质、事发地气象、水文特点，制定环境应急监测方案，测定污染物性质、浓度和扩散的范围；</w:t>
      </w:r>
    </w:p>
    <w:p w14:paraId="5611D3CD">
      <w:pPr>
        <w:pStyle w:val="15"/>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（2）根据监测结果，通过讨论、专家咨询的方式，综合分析突发环境事件污染状况、发展趋势，预测对人群和环境的影响，为突发环境事件应急决策提供技术支撑。</w:t>
      </w:r>
    </w:p>
    <w:p w14:paraId="3B4C197F">
      <w:pPr>
        <w:pStyle w:val="15"/>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（3）根据突发环境事件污染特征，向现场指挥部提出省、市生态环境</w:t>
      </w:r>
      <w:bookmarkStart w:id="99" w:name="_Toc5046"/>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监测机构或第三方环境监测单位给予相关技术支持或援助的请求。</w:t>
      </w:r>
    </w:p>
    <w:p w14:paraId="7AF8617E">
      <w:pPr>
        <w:pStyle w:val="15"/>
        <w:shd w:val="clear"/>
        <w:ind w:firstLine="560"/>
        <w:rPr>
          <w:rFonts w:hint="default" w:ascii="Times New Roman" w:hAnsi="Times New Roman" w:cs="Times New Roman"/>
          <w:highlight w:val="none"/>
          <w:lang w:eastAsia="zh-CN" w:bidi="ar"/>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（4）接受上级部门关于环境应急监测的指导与支持。</w:t>
      </w:r>
    </w:p>
    <w:p w14:paraId="5B84BBBC">
      <w:pPr>
        <w:pStyle w:val="5"/>
        <w:shd w:val="clear"/>
        <w:rPr>
          <w:rFonts w:hint="default" w:ascii="Times New Roman" w:hAnsi="Times New Roman" w:cs="Times New Roman"/>
          <w:highlight w:val="none"/>
        </w:rPr>
      </w:pPr>
      <w:r>
        <w:rPr>
          <w:rFonts w:hint="default" w:ascii="Times New Roman" w:hAnsi="Times New Roman" w:cs="Times New Roman"/>
          <w:highlight w:val="none"/>
        </w:rPr>
        <w:t>信息</w:t>
      </w:r>
      <w:bookmarkEnd w:id="99"/>
      <w:r>
        <w:rPr>
          <w:rFonts w:hint="default" w:ascii="Times New Roman" w:hAnsi="Times New Roman" w:cs="Times New Roman"/>
          <w:highlight w:val="none"/>
        </w:rPr>
        <w:t>发布</w:t>
      </w:r>
    </w:p>
    <w:p w14:paraId="304F7972">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突发环境事件的信息发布要及时、准确、客观、全面。</w:t>
      </w:r>
    </w:p>
    <w:p w14:paraId="7908746B">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信息发布内容主要包括：事件种类、事件原因、污染程度、影响范围、应对措施、需要公众配合采取的措施、公众防范常识和事件调查处理进展情况等。</w:t>
      </w:r>
    </w:p>
    <w:p w14:paraId="134E0A68">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bookmarkStart w:id="100" w:name="_Toc13524"/>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信息发布形式主要包括：政府权威发布、发新闻稿、接受记者采访、举行新闻发布会、组织专家解读等。</w:t>
      </w:r>
    </w:p>
    <w:p w14:paraId="20054896">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一般突发环境事件信息由区管委会统一发布。对于较为复杂的事件，可分阶段发布。较大、重大、特别重大突发环境事件信息依照有关法律、法规及应急预案等的规定发布。</w:t>
      </w:r>
    </w:p>
    <w:p w14:paraId="05ADE6B4">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严禁任何个人或单位以任何形式私自发布任何相关的突发环境事件的信息。</w:t>
      </w:r>
    </w:p>
    <w:p w14:paraId="5B749EC8">
      <w:pPr>
        <w:pStyle w:val="5"/>
        <w:shd w:val="clear"/>
        <w:rPr>
          <w:rFonts w:hint="default" w:ascii="Times New Roman" w:hAnsi="Times New Roman" w:cs="Times New Roman"/>
          <w:highlight w:val="none"/>
        </w:rPr>
      </w:pPr>
      <w:r>
        <w:rPr>
          <w:rFonts w:hint="default" w:ascii="Times New Roman" w:hAnsi="Times New Roman" w:cs="Times New Roman"/>
          <w:highlight w:val="none"/>
        </w:rPr>
        <w:t>安全防护</w:t>
      </w:r>
      <w:bookmarkEnd w:id="100"/>
    </w:p>
    <w:p w14:paraId="48B9C473">
      <w:pPr>
        <w:pStyle w:val="6"/>
        <w:shd w:val="clear"/>
        <w:rPr>
          <w:rFonts w:hint="default" w:ascii="Times New Roman" w:hAnsi="Times New Roman" w:cs="Times New Roman"/>
          <w:highlight w:val="none"/>
          <w:lang w:eastAsia="zh-CN"/>
        </w:rPr>
      </w:pPr>
      <w:bookmarkStart w:id="101" w:name="_Toc153954090"/>
      <w:bookmarkEnd w:id="101"/>
      <w:bookmarkStart w:id="102" w:name="_Toc181279679"/>
      <w:bookmarkEnd w:id="102"/>
      <w:bookmarkStart w:id="103" w:name="_Toc178258228"/>
      <w:bookmarkEnd w:id="103"/>
      <w:bookmarkStart w:id="104" w:name="_Toc178258226"/>
      <w:bookmarkEnd w:id="104"/>
      <w:bookmarkStart w:id="105" w:name="_Toc156311920"/>
      <w:bookmarkEnd w:id="105"/>
      <w:bookmarkStart w:id="106" w:name="_Toc178258227"/>
      <w:bookmarkEnd w:id="106"/>
      <w:bookmarkStart w:id="107" w:name="_Toc154405536"/>
      <w:bookmarkEnd w:id="107"/>
      <w:bookmarkStart w:id="108" w:name="_Toc177553268"/>
      <w:bookmarkEnd w:id="108"/>
      <w:bookmarkStart w:id="109" w:name="_Toc154481197"/>
      <w:bookmarkEnd w:id="109"/>
      <w:bookmarkStart w:id="110" w:name="_Toc181279678"/>
      <w:bookmarkEnd w:id="110"/>
      <w:bookmarkStart w:id="111" w:name="_Toc154405392"/>
      <w:bookmarkEnd w:id="111"/>
      <w:bookmarkStart w:id="112" w:name="_Toc181279680"/>
      <w:bookmarkEnd w:id="112"/>
      <w:bookmarkStart w:id="113" w:name="_Toc177553269"/>
      <w:bookmarkEnd w:id="113"/>
      <w:bookmarkStart w:id="114" w:name="_Toc177553270"/>
      <w:bookmarkEnd w:id="114"/>
      <w:r>
        <w:rPr>
          <w:rFonts w:hint="default" w:ascii="Times New Roman" w:hAnsi="Times New Roman" w:cs="Times New Roman"/>
          <w:highlight w:val="none"/>
          <w:lang w:eastAsia="zh-CN" w:bidi="ar"/>
        </w:rPr>
        <w:t>环境应急人员的安全防护</w:t>
      </w:r>
    </w:p>
    <w:p w14:paraId="50312855">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现场处置人员应根据不同类型环境事件的特点，配备相应的专业防护装备，采取安全防护措施，严格执行应急人员出入事发现场规定。现场监测、监察和处置人员根据需要配备过滤式或隔绝式防毒面具，在正确、完全</w:t>
      </w:r>
      <w:r>
        <w:rPr>
          <w:rFonts w:hint="eastAsia" w:ascii="Times New Roman" w:hAnsi="Times New Roman" w:eastAsia="仿宋" w:cs="Times New Roman"/>
          <w:color w:val="000000" w:themeColor="text1"/>
          <w:szCs w:val="28"/>
          <w:highlight w:val="none"/>
          <w:lang w:eastAsia="zh-CN" w:bidi="ar"/>
          <w14:textFill>
            <w14:solidFill>
              <w14:schemeClr w14:val="tx1"/>
            </w14:solidFill>
          </w14:textFill>
        </w:rPr>
        <w:t>佩戴</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好防护用具后，方可进入事件现场，以确保自身安全。</w:t>
      </w:r>
    </w:p>
    <w:p w14:paraId="28D67C70">
      <w:pPr>
        <w:pStyle w:val="6"/>
        <w:shd w:val="clear"/>
        <w:rPr>
          <w:rFonts w:hint="default" w:ascii="Times New Roman" w:hAnsi="Times New Roman" w:cs="Times New Roman"/>
          <w:highlight w:val="none"/>
          <w:lang w:bidi="ar"/>
        </w:rPr>
      </w:pPr>
      <w:r>
        <w:rPr>
          <w:rFonts w:hint="default" w:ascii="Times New Roman" w:hAnsi="Times New Roman" w:cs="Times New Roman"/>
          <w:highlight w:val="none"/>
          <w:lang w:bidi="ar"/>
        </w:rPr>
        <w:t>受灾群众的安全防护</w:t>
      </w:r>
    </w:p>
    <w:p w14:paraId="53F28F3C">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由</w:t>
      </w:r>
      <w:r>
        <w:rPr>
          <w:rFonts w:hint="default" w:ascii="Times New Roman" w:hAnsi="Times New Roman" w:eastAsia="仿宋" w:cs="Times New Roman"/>
          <w:color w:val="000000" w:themeColor="text1"/>
          <w:szCs w:val="28"/>
          <w:highlight w:val="none"/>
          <w:lang w:val="en-US" w:eastAsia="zh-CN" w:bidi="ar"/>
          <w14:textFill>
            <w14:solidFill>
              <w14:schemeClr w14:val="tx1"/>
            </w14:solidFill>
          </w14:textFill>
        </w:rPr>
        <w:t>区管委会</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统一筹划，设立紧急避险场所。应当根据气象、地理环境、人员密集度等，确定受威胁人员疏散的方式，组织群众安全疏散撤离和妥善安置。</w:t>
      </w:r>
    </w:p>
    <w:p w14:paraId="271B25F3">
      <w:pPr>
        <w:pStyle w:val="6"/>
        <w:shd w:val="clear"/>
        <w:rPr>
          <w:rFonts w:hint="default" w:ascii="Times New Roman" w:hAnsi="Times New Roman" w:cs="Times New Roman"/>
          <w:highlight w:val="none"/>
          <w:lang w:bidi="ar"/>
        </w:rPr>
      </w:pPr>
      <w:r>
        <w:rPr>
          <w:rFonts w:hint="default" w:ascii="Times New Roman" w:hAnsi="Times New Roman" w:cs="Times New Roman"/>
          <w:highlight w:val="none"/>
          <w:lang w:bidi="ar"/>
        </w:rPr>
        <w:t>医疗救护</w:t>
      </w:r>
    </w:p>
    <w:p w14:paraId="4B5786D9">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事件发生后，后勤和医疗保障组立即组织医疗救护队赶赴事发地指导开展医疗救治、人员防护、紧急避难场所医疗巡查工作，为处置工作提供卫生安全防护技术支持。</w:t>
      </w:r>
    </w:p>
    <w:p w14:paraId="5E31A43C">
      <w:pPr>
        <w:pStyle w:val="6"/>
        <w:shd w:val="clear"/>
        <w:bidi w:val="0"/>
        <w:rPr>
          <w:rFonts w:hint="default" w:ascii="Times New Roman" w:hAnsi="Times New Roman" w:cs="Times New Roman"/>
          <w:highlight w:val="none"/>
        </w:rPr>
      </w:pPr>
      <w:bookmarkStart w:id="115" w:name="_Toc6781"/>
      <w:r>
        <w:rPr>
          <w:rFonts w:hint="default" w:ascii="Times New Roman" w:hAnsi="Times New Roman" w:cs="Times New Roman"/>
          <w:highlight w:val="none"/>
        </w:rPr>
        <w:t>饮用水安全保障</w:t>
      </w:r>
      <w:bookmarkEnd w:id="115"/>
    </w:p>
    <w:p w14:paraId="46B02BF2">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当饮用水源受到污染影响到饮用水供应时，街道办事处协助供水和调水事务组迅速组织力量紧急启用备用水源，加强饮用水水质监控。备用水源不足时，相关办事处应立即组织调水或采取其他应急供水措施，确保饮用水供应。</w:t>
      </w:r>
    </w:p>
    <w:p w14:paraId="7B6694BA">
      <w:pPr>
        <w:pStyle w:val="6"/>
        <w:shd w:val="clear"/>
        <w:bidi w:val="0"/>
        <w:rPr>
          <w:rFonts w:hint="default" w:ascii="Times New Roman" w:hAnsi="Times New Roman" w:cs="Times New Roman"/>
          <w:highlight w:val="none"/>
        </w:rPr>
      </w:pPr>
      <w:bookmarkStart w:id="116" w:name="_Toc4452"/>
      <w:r>
        <w:rPr>
          <w:rFonts w:hint="default" w:ascii="Times New Roman" w:hAnsi="Times New Roman" w:cs="Times New Roman"/>
          <w:highlight w:val="none"/>
        </w:rPr>
        <w:t>食品安全保障</w:t>
      </w:r>
      <w:bookmarkEnd w:id="116"/>
    </w:p>
    <w:p w14:paraId="5FFEE441">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当农产品、初级水产品、禽畜受到污染时，农业、海洋与渔业和市场监督管理部门会同相关办事处加强监测、监控，严格控制受污染食品进入流通领域，防止发生误食受污染食品引起中毒事件。</w:t>
      </w:r>
    </w:p>
    <w:p w14:paraId="422AD0EA">
      <w:pPr>
        <w:pStyle w:val="5"/>
        <w:shd w:val="clear"/>
        <w:rPr>
          <w:rFonts w:hint="default" w:ascii="Times New Roman" w:hAnsi="Times New Roman" w:cs="Times New Roman"/>
          <w:highlight w:val="none"/>
        </w:rPr>
      </w:pPr>
      <w:bookmarkStart w:id="117" w:name="_Toc27699"/>
      <w:r>
        <w:rPr>
          <w:rFonts w:hint="default" w:ascii="Times New Roman" w:hAnsi="Times New Roman" w:cs="Times New Roman"/>
          <w:highlight w:val="none"/>
        </w:rPr>
        <w:t>扩大应急</w:t>
      </w:r>
      <w:bookmarkEnd w:id="117"/>
    </w:p>
    <w:p w14:paraId="1F5DCBD1">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当事态的发展难以控制事件级别有上升趋势，或衍生出其他突发公共事件，目前采取的应急措施不足以控制严峻的态势，需由多专业应急单位同时参与处置工作时，经过专家技术论证成立，区管委会应立即及时上报市政府。</w:t>
      </w:r>
    </w:p>
    <w:p w14:paraId="4859E78F">
      <w:pPr>
        <w:pStyle w:val="5"/>
        <w:shd w:val="clear"/>
        <w:rPr>
          <w:rFonts w:hint="default" w:ascii="Times New Roman" w:hAnsi="Times New Roman" w:cs="Times New Roman"/>
          <w:highlight w:val="none"/>
        </w:rPr>
      </w:pPr>
      <w:bookmarkStart w:id="118" w:name="_Toc14251"/>
      <w:r>
        <w:rPr>
          <w:rFonts w:hint="default" w:ascii="Times New Roman" w:hAnsi="Times New Roman" w:cs="Times New Roman"/>
          <w:highlight w:val="none"/>
        </w:rPr>
        <w:t>应急联动</w:t>
      </w:r>
      <w:bookmarkEnd w:id="118"/>
    </w:p>
    <w:p w14:paraId="4A4B5A33">
      <w:pPr>
        <w:pStyle w:val="6"/>
        <w:shd w:val="clear"/>
        <w:rPr>
          <w:rFonts w:hint="default" w:ascii="Times New Roman" w:hAnsi="Times New Roman" w:cs="Times New Roman"/>
          <w:highlight w:val="none"/>
        </w:rPr>
      </w:pPr>
      <w:bookmarkStart w:id="119" w:name="_Toc156311939"/>
      <w:bookmarkEnd w:id="119"/>
      <w:bookmarkStart w:id="120" w:name="_Toc156311938"/>
      <w:bookmarkEnd w:id="120"/>
      <w:bookmarkStart w:id="121" w:name="_Toc177553278"/>
      <w:bookmarkEnd w:id="121"/>
      <w:bookmarkStart w:id="122" w:name="_Toc181279689"/>
      <w:bookmarkEnd w:id="122"/>
      <w:bookmarkStart w:id="123" w:name="_Toc181279688"/>
      <w:bookmarkEnd w:id="123"/>
      <w:bookmarkStart w:id="124" w:name="_Toc178258236"/>
      <w:bookmarkEnd w:id="124"/>
      <w:bookmarkStart w:id="125" w:name="_Toc177553279"/>
      <w:bookmarkEnd w:id="125"/>
      <w:bookmarkStart w:id="126" w:name="_Toc178258237"/>
      <w:bookmarkEnd w:id="126"/>
      <w:r>
        <w:rPr>
          <w:rFonts w:hint="default" w:ascii="Times New Roman" w:hAnsi="Times New Roman" w:cs="Times New Roman"/>
          <w:highlight w:val="none"/>
        </w:rPr>
        <w:t>区域联动</w:t>
      </w:r>
    </w:p>
    <w:p w14:paraId="0485FE0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当事态的发展难以控制，可能造成跨县（区）污染事件时，区管委会立即通知有关县（区）政府采取应对措施。</w:t>
      </w:r>
    </w:p>
    <w:p w14:paraId="3461C639">
      <w:pPr>
        <w:pStyle w:val="6"/>
        <w:shd w:val="clear"/>
        <w:rPr>
          <w:rFonts w:hint="default" w:ascii="Times New Roman" w:hAnsi="Times New Roman" w:cs="Times New Roman"/>
          <w:highlight w:val="none"/>
        </w:rPr>
      </w:pPr>
      <w:r>
        <w:rPr>
          <w:rFonts w:hint="default" w:ascii="Times New Roman" w:hAnsi="Times New Roman" w:cs="Times New Roman"/>
          <w:highlight w:val="none"/>
        </w:rPr>
        <w:t>企业联动</w:t>
      </w:r>
    </w:p>
    <w:p w14:paraId="5B4A212A">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发生事故周边企业在确保自身安全的情况下按现场指挥部要求派出救援队伍参与救援，调拨物资支援抢险救灾。</w:t>
      </w:r>
    </w:p>
    <w:p w14:paraId="70D8A562">
      <w:pPr>
        <w:pStyle w:val="5"/>
        <w:shd w:val="clear"/>
        <w:rPr>
          <w:rFonts w:hint="default" w:ascii="Times New Roman" w:hAnsi="Times New Roman" w:cs="Times New Roman"/>
          <w:highlight w:val="none"/>
        </w:rPr>
      </w:pPr>
      <w:bookmarkStart w:id="127" w:name="_Toc12871"/>
      <w:r>
        <w:rPr>
          <w:rFonts w:hint="default" w:ascii="Times New Roman" w:hAnsi="Times New Roman" w:cs="Times New Roman"/>
          <w:highlight w:val="none"/>
        </w:rPr>
        <w:t>应急终止</w:t>
      </w:r>
      <w:bookmarkEnd w:id="127"/>
    </w:p>
    <w:p w14:paraId="65E35FD9">
      <w:pPr>
        <w:pStyle w:val="6"/>
        <w:shd w:val="clear"/>
        <w:rPr>
          <w:rFonts w:hint="default" w:ascii="Times New Roman" w:hAnsi="Times New Roman" w:cs="Times New Roman"/>
          <w:highlight w:val="none"/>
        </w:rPr>
      </w:pPr>
      <w:bookmarkStart w:id="128" w:name="_Toc178258241"/>
      <w:bookmarkEnd w:id="128"/>
      <w:bookmarkStart w:id="129" w:name="_Toc181279693"/>
      <w:bookmarkEnd w:id="129"/>
      <w:bookmarkStart w:id="130" w:name="_Toc177553283"/>
      <w:bookmarkEnd w:id="130"/>
      <w:bookmarkStart w:id="131" w:name="_Toc156311943"/>
      <w:bookmarkEnd w:id="131"/>
      <w:r>
        <w:rPr>
          <w:rFonts w:hint="default" w:ascii="Times New Roman" w:hAnsi="Times New Roman" w:cs="Times New Roman"/>
          <w:highlight w:val="none"/>
        </w:rPr>
        <w:t>应急终止的条件</w:t>
      </w:r>
    </w:p>
    <w:p w14:paraId="3BD53C35">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突发环境事件的现场应急处置工作在突发环境事件的威胁和危害得到控制或者消除后，应当终止。</w:t>
      </w:r>
    </w:p>
    <w:p w14:paraId="05242FE7">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（1）事件现场得到控制，事件发生的条件已经消除；</w:t>
      </w:r>
    </w:p>
    <w:p w14:paraId="1162F621">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（2）污染源的泄漏或释放已降至规定限值以内；</w:t>
      </w:r>
    </w:p>
    <w:p w14:paraId="68A96283">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（3）事件所造成的危害已经被彻底消除，无继发可能；</w:t>
      </w:r>
    </w:p>
    <w:p w14:paraId="309CA942">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（4）事件现场的各种专业应急处置行动已无继续的必要；</w:t>
      </w:r>
    </w:p>
    <w:p w14:paraId="05A45416">
      <w:pPr>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（5）采取了必要的防护措施以保护公众免受再次危害，并使事件可能引起的中长期影响趋于合理且尽量低的水平。</w:t>
      </w:r>
    </w:p>
    <w:p w14:paraId="253AB338">
      <w:pPr>
        <w:pStyle w:val="6"/>
        <w:shd w:val="clear"/>
        <w:rPr>
          <w:rFonts w:hint="default" w:ascii="Times New Roman" w:hAnsi="Times New Roman" w:cs="Times New Roman"/>
          <w:highlight w:val="none"/>
        </w:rPr>
      </w:pPr>
      <w:r>
        <w:rPr>
          <w:rFonts w:hint="default" w:ascii="Times New Roman" w:hAnsi="Times New Roman" w:cs="Times New Roman"/>
          <w:highlight w:val="none"/>
        </w:rPr>
        <w:t>应急终止的程序</w:t>
      </w:r>
    </w:p>
    <w:p w14:paraId="446A4A7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（1）现场指挥部决定终止时机，或事件责任单位提出，经现场指挥部批准</w:t>
      </w:r>
      <w:r>
        <w:rPr>
          <w:rFonts w:hint="default" w:ascii="Times New Roman" w:hAnsi="Times New Roman" w:eastAsia="仿宋" w:cs="Times New Roman"/>
          <w:color w:val="000000" w:themeColor="text1"/>
          <w:szCs w:val="28"/>
          <w:highlight w:val="none"/>
          <w:lang w:val="en-US" w:eastAsia="zh-CN" w:bidi="ar"/>
          <w14:textFill>
            <w14:solidFill>
              <w14:schemeClr w14:val="tx1"/>
            </w14:solidFill>
          </w14:textFill>
        </w:rPr>
        <w:t>后执行</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w:t>
      </w:r>
    </w:p>
    <w:p w14:paraId="457640FE">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（2）现场指挥部向组织处置突发环境事件的各专业应急救援队伍下达应急终止命令；</w:t>
      </w:r>
    </w:p>
    <w:p w14:paraId="4EFCF5B1">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（3）应急状态终止后，现场指挥部应根据有关指示和实际情况，决定是否继续进行环境监测和评价工作。</w:t>
      </w:r>
    </w:p>
    <w:p w14:paraId="1BAEB5DB">
      <w:pPr>
        <w:pStyle w:val="15"/>
        <w:keepNext w:val="0"/>
        <w:keepLines w:val="0"/>
        <w:pageBreakBefore w:val="0"/>
        <w:widowControl w:val="0"/>
        <w:shd w:val="clear"/>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5296535" cy="7160895"/>
            <wp:effectExtent l="0" t="0" r="18415" b="1905"/>
            <wp:docPr id="1499200113" name="图片 149920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200113" name="图片 1499200113"/>
                    <pic:cNvPicPr>
                      <a:picLocks noChangeAspect="1"/>
                    </pic:cNvPicPr>
                  </pic:nvPicPr>
                  <pic:blipFill>
                    <a:blip r:embed="rId19"/>
                    <a:srcRect l="12078" t="6070" b="5611"/>
                    <a:stretch>
                      <a:fillRect/>
                    </a:stretch>
                  </pic:blipFill>
                  <pic:spPr>
                    <a:xfrm>
                      <a:off x="0" y="0"/>
                      <a:ext cx="5296535" cy="7160895"/>
                    </a:xfrm>
                    <a:prstGeom prst="rect">
                      <a:avLst/>
                    </a:prstGeom>
                    <a:noFill/>
                    <a:ln>
                      <a:noFill/>
                    </a:ln>
                  </pic:spPr>
                </pic:pic>
              </a:graphicData>
            </a:graphic>
          </wp:inline>
        </w:drawing>
      </w:r>
    </w:p>
    <w:p w14:paraId="6E6A1B19">
      <w:pPr>
        <w:pStyle w:val="13"/>
        <w:shd w:val="clear"/>
        <w:ind w:firstLine="0" w:firstLineChars="0"/>
        <w:jc w:val="cente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pPr>
      <w:bookmarkStart w:id="132" w:name="_Toc15430"/>
      <w:bookmarkStart w:id="133" w:name="_Toc6490"/>
      <w:r>
        <w:rPr>
          <w:rFonts w:hint="default" w:ascii="Times New Roman" w:hAnsi="Times New Roman" w:eastAsia="仿宋" w:cs="Times New Roman"/>
          <w:b/>
          <w:bCs/>
          <w:sz w:val="24"/>
          <w:szCs w:val="24"/>
          <w:highlight w:val="none"/>
          <w:lang w:eastAsia="zh-CN"/>
        </w:rPr>
        <w:t xml:space="preserve">  </w:t>
      </w:r>
      <w:r>
        <w:rPr>
          <w:rFonts w:hint="default" w:ascii="Times New Roman" w:hAnsi="Times New Roman" w:eastAsia="仿宋" w:cs="Times New Roman"/>
          <w:b/>
          <w:bCs/>
          <w:sz w:val="24"/>
          <w:szCs w:val="24"/>
          <w:highlight w:val="none"/>
        </w:rPr>
        <w:t>图</w:t>
      </w:r>
      <w:r>
        <w:rPr>
          <w:rFonts w:hint="default" w:ascii="Times New Roman" w:hAnsi="Times New Roman" w:eastAsia="仿宋" w:cs="Times New Roman"/>
          <w:b/>
          <w:bCs/>
          <w:sz w:val="24"/>
          <w:szCs w:val="24"/>
          <w:highlight w:val="none"/>
        </w:rPr>
        <w:fldChar w:fldCharType="begin"/>
      </w:r>
      <w:r>
        <w:rPr>
          <w:rFonts w:hint="default" w:ascii="Times New Roman" w:hAnsi="Times New Roman" w:eastAsia="仿宋" w:cs="Times New Roman"/>
          <w:b/>
          <w:bCs/>
          <w:sz w:val="24"/>
          <w:szCs w:val="24"/>
          <w:highlight w:val="none"/>
        </w:rPr>
        <w:instrText xml:space="preserve"> SEQ 图 \* ARABIC </w:instrText>
      </w:r>
      <w:r>
        <w:rPr>
          <w:rFonts w:hint="default" w:ascii="Times New Roman" w:hAnsi="Times New Roman" w:eastAsia="仿宋" w:cs="Times New Roman"/>
          <w:b/>
          <w:bCs/>
          <w:sz w:val="24"/>
          <w:szCs w:val="24"/>
          <w:highlight w:val="none"/>
        </w:rPr>
        <w:fldChar w:fldCharType="separate"/>
      </w:r>
      <w:r>
        <w:rPr>
          <w:rFonts w:hint="default" w:ascii="Times New Roman" w:hAnsi="Times New Roman" w:eastAsia="仿宋" w:cs="Times New Roman"/>
          <w:b/>
          <w:bCs/>
          <w:sz w:val="24"/>
          <w:szCs w:val="24"/>
          <w:highlight w:val="none"/>
        </w:rPr>
        <w:t>3</w:t>
      </w:r>
      <w:r>
        <w:rPr>
          <w:rFonts w:hint="default" w:ascii="Times New Roman" w:hAnsi="Times New Roman" w:eastAsia="仿宋" w:cs="Times New Roman"/>
          <w:b/>
          <w:bCs/>
          <w:sz w:val="24"/>
          <w:szCs w:val="24"/>
          <w:highlight w:val="none"/>
        </w:rPr>
        <w:fldChar w:fldCharType="end"/>
      </w:r>
      <w:r>
        <w:rPr>
          <w:rFonts w:hint="default" w:ascii="Times New Roman" w:hAnsi="Times New Roman" w:eastAsia="仿宋" w:cs="Times New Roman"/>
          <w:b/>
          <w:bCs/>
          <w:sz w:val="24"/>
          <w:szCs w:val="24"/>
          <w:highlight w:val="none"/>
          <w:lang w:eastAsia="zh-CN"/>
        </w:rPr>
        <w:t xml:space="preserve"> </w:t>
      </w: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t>应急响应流程图</w:t>
      </w:r>
    </w:p>
    <w:p w14:paraId="63F48529">
      <w:pPr>
        <w:pStyle w:val="4"/>
        <w:shd w:val="clear"/>
        <w:rPr>
          <w:rFonts w:hint="default" w:ascii="Times New Roman" w:hAnsi="Times New Roman" w:cs="Times New Roman"/>
          <w:highlight w:val="none"/>
        </w:rPr>
      </w:pPr>
      <w:bookmarkStart w:id="134" w:name="_Toc12754"/>
      <w:bookmarkStart w:id="135" w:name="_Toc23956"/>
      <w:r>
        <w:rPr>
          <w:rFonts w:hint="default" w:ascii="Times New Roman" w:hAnsi="Times New Roman" w:cs="Times New Roman"/>
          <w:highlight w:val="none"/>
        </w:rPr>
        <w:t>后期</w:t>
      </w:r>
      <w:bookmarkEnd w:id="132"/>
      <w:bookmarkEnd w:id="133"/>
      <w:r>
        <w:rPr>
          <w:rFonts w:hint="default" w:ascii="Times New Roman" w:hAnsi="Times New Roman" w:cs="Times New Roman"/>
          <w:highlight w:val="none"/>
        </w:rPr>
        <w:t>工作</w:t>
      </w:r>
      <w:bookmarkEnd w:id="134"/>
      <w:bookmarkEnd w:id="135"/>
    </w:p>
    <w:p w14:paraId="023A2D58">
      <w:pPr>
        <w:pStyle w:val="5"/>
        <w:shd w:val="clear"/>
        <w:rPr>
          <w:rFonts w:hint="default" w:ascii="Times New Roman" w:hAnsi="Times New Roman" w:cs="Times New Roman"/>
          <w:highlight w:val="none"/>
        </w:rPr>
      </w:pPr>
      <w:bookmarkStart w:id="136" w:name="_Toc21913"/>
      <w:r>
        <w:rPr>
          <w:rFonts w:hint="default" w:ascii="Times New Roman" w:hAnsi="Times New Roman" w:cs="Times New Roman"/>
          <w:highlight w:val="none"/>
        </w:rPr>
        <w:t>总结评估</w:t>
      </w:r>
      <w:bookmarkEnd w:id="136"/>
    </w:p>
    <w:p w14:paraId="3A9C6C54">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（1）区环境应急指挥部有关成员单位要认真总结应急处置工作的经验教训，制订改进措施，对本</w:t>
      </w:r>
      <w:r>
        <w:rPr>
          <w:rFonts w:hint="default" w:ascii="Times New Roman" w:hAnsi="Times New Roman" w:eastAsia="仿宋" w:cs="Times New Roman"/>
          <w:color w:val="000000" w:themeColor="text1"/>
          <w:szCs w:val="28"/>
          <w:highlight w:val="none"/>
          <w:lang w:val="en-US" w:eastAsia="zh-CN" w:bidi="ar"/>
          <w14:textFill>
            <w14:solidFill>
              <w14:schemeClr w14:val="tx1"/>
            </w14:solidFill>
          </w14:textFill>
        </w:rPr>
        <w:t>部门</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应急预案进行修正。</w:t>
      </w:r>
    </w:p>
    <w:p w14:paraId="677852FF">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（2）区环境应急</w:t>
      </w:r>
      <w:r>
        <w:rPr>
          <w:rFonts w:hint="default" w:ascii="Times New Roman" w:hAnsi="Times New Roman" w:eastAsia="仿宋" w:cs="Times New Roman"/>
          <w:color w:val="000000" w:themeColor="text1"/>
          <w:szCs w:val="28"/>
          <w:highlight w:val="none"/>
          <w:lang w:val="en-US" w:eastAsia="zh-CN" w:bidi="ar"/>
          <w14:textFill>
            <w14:solidFill>
              <w14:schemeClr w14:val="tx1"/>
            </w14:solidFill>
          </w14:textFill>
        </w:rPr>
        <w:t>指挥部</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办公室负责起草突发环境事件总结报告，并向区环境应急指挥部报告。</w:t>
      </w:r>
    </w:p>
    <w:p w14:paraId="62247F6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总结依据：应急过程记录、各应急单位的总结报告、现场应急过程的其它应急信息、应急的实际效果及产生的社会影响、公众的反映等。</w:t>
      </w:r>
    </w:p>
    <w:p w14:paraId="05D2289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主要结论包括：应急总任务及部分任务完成情况；是否符合保护公众，保护环境的总要求；人员的出动是否及时；应急保障物质是否充分、有效；应急单位、人员之间的协作是否高效；应急处置是否科学合理；发布的公众信息的内容是否真实、时机是否得当，公众的反映如何；应急预案是否需要修订；主要不足及需得出的其它结论等。</w:t>
      </w:r>
    </w:p>
    <w:p w14:paraId="59482613">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总结报告应在突发环境事件应急响应终止后30天内报区管委会、市生态环境局。</w:t>
      </w:r>
    </w:p>
    <w:p w14:paraId="5F219634">
      <w:pPr>
        <w:pStyle w:val="5"/>
        <w:shd w:val="clear"/>
        <w:rPr>
          <w:rFonts w:hint="default" w:ascii="Times New Roman" w:hAnsi="Times New Roman" w:cs="Times New Roman"/>
          <w:highlight w:val="none"/>
        </w:rPr>
      </w:pPr>
      <w:bookmarkStart w:id="137" w:name="_Toc10724"/>
      <w:r>
        <w:rPr>
          <w:rFonts w:hint="default" w:ascii="Times New Roman" w:hAnsi="Times New Roman" w:cs="Times New Roman"/>
          <w:highlight w:val="none"/>
        </w:rPr>
        <w:t>调查处理</w:t>
      </w:r>
      <w:bookmarkEnd w:id="137"/>
    </w:p>
    <w:p w14:paraId="67523DB5">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区环境应急指挥部办公室应组织协调相关职能部门，及时查明突发环境事件的发生经过、原因、造成的损失，依法追究事故责任人的法律责任和经济责任。调查处理结果向区管委会和市生态环境局报告。</w:t>
      </w:r>
    </w:p>
    <w:p w14:paraId="256DBBAD">
      <w:pPr>
        <w:pStyle w:val="5"/>
        <w:shd w:val="clear"/>
        <w:rPr>
          <w:rFonts w:hint="default" w:ascii="Times New Roman" w:hAnsi="Times New Roman" w:cs="Times New Roman"/>
          <w:highlight w:val="none"/>
        </w:rPr>
      </w:pPr>
      <w:bookmarkStart w:id="138" w:name="_Toc14752"/>
      <w:r>
        <w:rPr>
          <w:rFonts w:hint="default" w:ascii="Times New Roman" w:hAnsi="Times New Roman" w:cs="Times New Roman"/>
          <w:highlight w:val="none"/>
        </w:rPr>
        <w:t>善后处理</w:t>
      </w:r>
      <w:bookmarkEnd w:id="138"/>
    </w:p>
    <w:p w14:paraId="2492A42F">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应急响应结束后，在污染状态未恢复到正常水平前，应采取或者继续实施环境监测、污染治理等应急措施、防止造成次生、衍生环境污染，并做好宣传疏导以及危机干预等工作，消除群众的恐惧情绪，维护社会稳定。</w:t>
      </w:r>
    </w:p>
    <w:p w14:paraId="05CCE0BC">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区环境应急指挥部办公室应组织有关专家对受影响地区的范围进行科学评估，制定补助，补偿，抚慰，抚恤，安置和环境恢复等善后工作计划，并组织实施，做好受害人员的安置等善后处置工作。</w:t>
      </w:r>
    </w:p>
    <w:p w14:paraId="3D955BB6">
      <w:pPr>
        <w:pStyle w:val="5"/>
        <w:shd w:val="clear"/>
        <w:rPr>
          <w:rFonts w:hint="default" w:ascii="Times New Roman" w:hAnsi="Times New Roman" w:cs="Times New Roman"/>
          <w:highlight w:val="none"/>
        </w:rPr>
      </w:pPr>
      <w:bookmarkStart w:id="139" w:name="_Toc19906"/>
      <w:r>
        <w:rPr>
          <w:rFonts w:hint="default" w:ascii="Times New Roman" w:hAnsi="Times New Roman" w:cs="Times New Roman"/>
          <w:highlight w:val="none"/>
        </w:rPr>
        <w:t>损害评估</w:t>
      </w:r>
    </w:p>
    <w:p w14:paraId="69C040F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在应急响应终止后，对本次突发环境事件造成的生态环境损害进行损害评估，评估范围为受影响的土壤、地表水和地下水，统计周边人员的健康状况（主要是中毒、致死情况）、人员伤害程度及范围、造成的经济损失等。同时编制污染危害评估报告，设置应急事故记录人员，建立档案和专门报告制度，设专门部门负责管理。</w:t>
      </w:r>
    </w:p>
    <w:p w14:paraId="12A2700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评估结果除了用于提供后续磋商和诉讼过程中作为证据支持外，也将向社会公布。</w:t>
      </w:r>
    </w:p>
    <w:p w14:paraId="5B02339D">
      <w:pPr>
        <w:pStyle w:val="5"/>
        <w:shd w:val="clear"/>
        <w:rPr>
          <w:rFonts w:hint="default" w:ascii="Times New Roman" w:hAnsi="Times New Roman" w:cs="Times New Roman"/>
          <w:highlight w:val="none"/>
        </w:rPr>
      </w:pPr>
      <w:r>
        <w:rPr>
          <w:rFonts w:hint="default" w:ascii="Times New Roman" w:hAnsi="Times New Roman" w:cs="Times New Roman"/>
          <w:highlight w:val="none"/>
        </w:rPr>
        <w:t>保险</w:t>
      </w:r>
      <w:bookmarkEnd w:id="139"/>
    </w:p>
    <w:p w14:paraId="192D02C7">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鼓励保险公司开展环境污染责任保险产品和服务创新，为环境风险提供保险保障，做好突发环境事件的应急处置、定损、赔偿等服务。鼓励社会公众参与商业保险和参加互助保险，建立突发环境事件风险分担机制。</w:t>
      </w:r>
    </w:p>
    <w:p w14:paraId="162DC3EC">
      <w:pPr>
        <w:pStyle w:val="3"/>
        <w:shd w:val="clear"/>
        <w:rPr>
          <w:rFonts w:hint="default" w:ascii="Times New Roman" w:hAnsi="Times New Roman" w:cs="Times New Roman"/>
          <w:highlight w:val="none"/>
        </w:rPr>
      </w:pPr>
      <w:bookmarkStart w:id="140" w:name="_Toc9107"/>
      <w:bookmarkStart w:id="141" w:name="_Toc13649"/>
      <w:bookmarkStart w:id="142" w:name="_Toc27921"/>
      <w:bookmarkStart w:id="143" w:name="_Toc2492"/>
      <w:r>
        <w:rPr>
          <w:rFonts w:hint="default" w:ascii="Times New Roman" w:hAnsi="Times New Roman" w:cs="Times New Roman"/>
          <w:highlight w:val="none"/>
        </w:rPr>
        <w:t>应急保障</w:t>
      </w:r>
      <w:bookmarkEnd w:id="140"/>
      <w:bookmarkEnd w:id="141"/>
      <w:bookmarkEnd w:id="142"/>
      <w:bookmarkEnd w:id="143"/>
    </w:p>
    <w:p w14:paraId="7BCF875D">
      <w:pPr>
        <w:pStyle w:val="4"/>
        <w:shd w:val="clear"/>
        <w:rPr>
          <w:rFonts w:hint="default" w:ascii="Times New Roman" w:hAnsi="Times New Roman" w:cs="Times New Roman"/>
          <w:highlight w:val="none"/>
        </w:rPr>
      </w:pPr>
      <w:bookmarkStart w:id="144" w:name="_Toc22554"/>
      <w:bookmarkStart w:id="145" w:name="_Toc7900"/>
      <w:bookmarkStart w:id="146" w:name="_Toc10069"/>
      <w:bookmarkStart w:id="147" w:name="_Toc3681"/>
      <w:r>
        <w:rPr>
          <w:rFonts w:hint="default" w:ascii="Times New Roman" w:hAnsi="Times New Roman" w:cs="Times New Roman"/>
          <w:highlight w:val="none"/>
        </w:rPr>
        <w:t>人力保障</w:t>
      </w:r>
      <w:bookmarkEnd w:id="144"/>
      <w:bookmarkEnd w:id="145"/>
      <w:bookmarkEnd w:id="146"/>
      <w:bookmarkEnd w:id="147"/>
    </w:p>
    <w:p w14:paraId="622D9CAC">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区生态环境分局要不断加强环境应急管理队伍、应急救援队伍和技术支撑队伍建设。依托消防</w:t>
      </w:r>
      <w:r>
        <w:rPr>
          <w:rFonts w:hint="eastAsia" w:ascii="Times New Roman" w:hAnsi="Times New Roman" w:eastAsia="仿宋" w:cs="Times New Roman"/>
          <w:color w:val="000000" w:themeColor="text1"/>
          <w:szCs w:val="28"/>
          <w:highlight w:val="none"/>
          <w:lang w:eastAsia="zh-CN" w:bidi="ar"/>
          <w14:textFill>
            <w14:solidFill>
              <w14:schemeClr w14:val="tx1"/>
            </w14:solidFill>
          </w14:textFill>
        </w:rPr>
        <w:t>救援</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队伍、专业应急救援队伍、企业应急救援队伍、社会力量等，组建突发环境事件应急救援队伍；石油、化工、危险废物处置等高环境风险行业企业应当建立专职或者兼职的突发环境事件应急救援队伍，或委托当地有应急处置能力的环保技术单位承担突发环境事件应急技术处置（专业救援单位名单见附件7）。</w:t>
      </w:r>
    </w:p>
    <w:p w14:paraId="16F31550">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加强环境应急专家队伍管理，建立完善各相关领域的环境应急专家库并定期更新，优化相关咨询机制和管理程序，及时为突发环境事件应急工作提供技术与决策支持。加强应急队伍相关知识、技能的培训，定期组织应急演练，强化部门间应急联动机制建设，提高突发环境事件快速响应及应急处置能力。</w:t>
      </w:r>
    </w:p>
    <w:p w14:paraId="53D7AB65">
      <w:pPr>
        <w:pStyle w:val="4"/>
        <w:shd w:val="clear"/>
        <w:rPr>
          <w:rFonts w:hint="default" w:ascii="Times New Roman" w:hAnsi="Times New Roman" w:cs="Times New Roman"/>
          <w:highlight w:val="none"/>
        </w:rPr>
      </w:pPr>
      <w:bookmarkStart w:id="148" w:name="_Toc4724"/>
      <w:bookmarkStart w:id="149" w:name="_Toc9536"/>
      <w:bookmarkStart w:id="150" w:name="_Toc3731"/>
      <w:bookmarkStart w:id="151" w:name="_Toc27300"/>
      <w:r>
        <w:rPr>
          <w:rFonts w:hint="default" w:ascii="Times New Roman" w:hAnsi="Times New Roman" w:cs="Times New Roman"/>
          <w:highlight w:val="none"/>
        </w:rPr>
        <w:t>资金保障</w:t>
      </w:r>
      <w:bookmarkEnd w:id="148"/>
      <w:bookmarkEnd w:id="149"/>
      <w:bookmarkEnd w:id="150"/>
      <w:bookmarkEnd w:id="151"/>
    </w:p>
    <w:p w14:paraId="1F9E0415">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突发环境事件应急处置所需经费首先由事件责任单位承担。</w:t>
      </w:r>
    </w:p>
    <w:p w14:paraId="68435A85">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区管委会对突发环境事件应急处置工作提供资金保障，处置突发环境事件实施中涉及人民政府职能的经费按照有关财政管理规定执行。每年区生态环境分局预算应适当安排应急项目经费。其中包括：</w:t>
      </w:r>
    </w:p>
    <w:p w14:paraId="2F1DB8D6">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（1）突发环境事件水上现场应急、危险废物及危险化学品现场应急、污染源现场处置救援等三类应急队伍建设经费；</w:t>
      </w:r>
    </w:p>
    <w:p w14:paraId="587372F4">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（2）应急事故现场监测、事件预防、预警、应急处置所需要的费用，包括仪器装备更换、交通车辆、专家咨询、应急演练、人员防护设备更新等经费；</w:t>
      </w:r>
    </w:p>
    <w:p w14:paraId="0D1B7CB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处置费用先向地方财政申请垫付，处置结束后对事件责任单位或个人进行追讨，不足部分向地方财政申请解决。</w:t>
      </w:r>
    </w:p>
    <w:p w14:paraId="7ECFFF2F">
      <w:pPr>
        <w:pStyle w:val="4"/>
        <w:shd w:val="clear"/>
        <w:rPr>
          <w:rFonts w:hint="default" w:ascii="Times New Roman" w:hAnsi="Times New Roman" w:cs="Times New Roman"/>
          <w:highlight w:val="none"/>
        </w:rPr>
      </w:pPr>
      <w:bookmarkStart w:id="152" w:name="_Toc24857"/>
      <w:bookmarkStart w:id="153" w:name="_Toc12446"/>
      <w:bookmarkStart w:id="154" w:name="_Toc22001"/>
      <w:bookmarkStart w:id="155" w:name="_Toc7026"/>
      <w:r>
        <w:rPr>
          <w:rFonts w:hint="default" w:ascii="Times New Roman" w:hAnsi="Times New Roman" w:cs="Times New Roman"/>
          <w:highlight w:val="none"/>
        </w:rPr>
        <w:t>物资装备保障</w:t>
      </w:r>
      <w:bookmarkEnd w:id="152"/>
      <w:bookmarkEnd w:id="153"/>
      <w:bookmarkEnd w:id="154"/>
      <w:bookmarkEnd w:id="155"/>
    </w:p>
    <w:p w14:paraId="6BE968F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按照统筹规划、分级负责、统一调配、资源共享的原则，通过政府采购与政府补贴相结合，利用社会资源，探索多样化应急物资储备方式。建立区突发环境事件应急物资装备保障系统，完善重要应急物资的监管、生产、储备、更新、调拨和紧急配送体系。加强应急监测设施设备建设，增加应急处置、快速机动及防护装备能力建设和物资储备。</w:t>
      </w:r>
    </w:p>
    <w:p w14:paraId="23B3599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w:t>
      </w:r>
      <w:r>
        <w:rPr>
          <w:rFonts w:hint="eastAsia" w:ascii="Times New Roman" w:hAnsi="Times New Roman" w:eastAsia="仿宋" w:cs="Times New Roman"/>
          <w:color w:val="000000" w:themeColor="text1"/>
          <w:szCs w:val="28"/>
          <w:highlight w:val="none"/>
          <w:lang w:val="en-US" w:eastAsia="zh-CN" w:bidi="ar"/>
          <w14:textFill>
            <w14:solidFill>
              <w14:schemeClr w14:val="tx1"/>
            </w14:solidFill>
          </w14:textFill>
        </w:rPr>
        <w:t>各有关单位</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结合各自的应急职能，在现有装备基础上适当增加应急物资，并负责对本部门应急物资储备的管理。各风险企业需根据自己的实际储备一定数量的应急物资。</w:t>
      </w:r>
    </w:p>
    <w:p w14:paraId="03FEADA1">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事故状态下如有需要区管委会可无条件征用社会应急物资，事故结束后按原价偿还。</w:t>
      </w:r>
    </w:p>
    <w:p w14:paraId="4D211BDC">
      <w:pPr>
        <w:pStyle w:val="4"/>
        <w:shd w:val="clear"/>
        <w:rPr>
          <w:rFonts w:hint="default" w:ascii="Times New Roman" w:hAnsi="Times New Roman" w:cs="Times New Roman"/>
          <w:highlight w:val="none"/>
        </w:rPr>
      </w:pPr>
      <w:bookmarkStart w:id="156" w:name="_Toc27575"/>
      <w:bookmarkStart w:id="157" w:name="_Toc23831"/>
      <w:bookmarkStart w:id="158" w:name="_Toc25546"/>
      <w:bookmarkStart w:id="159" w:name="_Toc12729"/>
      <w:r>
        <w:rPr>
          <w:rFonts w:hint="default" w:ascii="Times New Roman" w:hAnsi="Times New Roman" w:cs="Times New Roman"/>
          <w:highlight w:val="none"/>
        </w:rPr>
        <w:t>医疗卫生保障</w:t>
      </w:r>
      <w:bookmarkEnd w:id="156"/>
      <w:bookmarkEnd w:id="157"/>
      <w:bookmarkEnd w:id="158"/>
      <w:bookmarkEnd w:id="159"/>
    </w:p>
    <w:p w14:paraId="6A2D1D0B">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区教育文化卫生健康局应当做好突发环境事件的医疗卫生保障工作，保证受环境污染事件伤害的群众及在环境污染事件应急处置过程中受伤的人员能够得到及时、有效的治疗。</w:t>
      </w:r>
    </w:p>
    <w:p w14:paraId="62E2539B">
      <w:pPr>
        <w:pStyle w:val="4"/>
        <w:shd w:val="clear"/>
        <w:rPr>
          <w:rFonts w:hint="default" w:ascii="Times New Roman" w:hAnsi="Times New Roman" w:cs="Times New Roman"/>
          <w:highlight w:val="none"/>
        </w:rPr>
      </w:pPr>
      <w:bookmarkStart w:id="160" w:name="_Toc4639"/>
      <w:bookmarkStart w:id="161" w:name="_Toc8110"/>
      <w:bookmarkStart w:id="162" w:name="_Toc30863"/>
      <w:bookmarkStart w:id="163" w:name="_Toc24963"/>
      <w:r>
        <w:rPr>
          <w:rFonts w:hint="default" w:ascii="Times New Roman" w:hAnsi="Times New Roman" w:cs="Times New Roman"/>
          <w:highlight w:val="none"/>
        </w:rPr>
        <w:t>交通运输保障</w:t>
      </w:r>
      <w:bookmarkEnd w:id="160"/>
      <w:bookmarkEnd w:id="161"/>
      <w:bookmarkEnd w:id="162"/>
      <w:bookmarkEnd w:id="163"/>
    </w:p>
    <w:p w14:paraId="3156B15A">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区交通运输和海洋经济局、</w:t>
      </w:r>
      <w:r>
        <w:rPr>
          <w:rFonts w:hint="eastAsia" w:ascii="Times New Roman" w:hAnsi="Times New Roman" w:eastAsia="仿宋" w:cs="Times New Roman"/>
          <w:color w:val="000000" w:themeColor="text1"/>
          <w:szCs w:val="28"/>
          <w:highlight w:val="none"/>
          <w:lang w:eastAsia="zh-CN" w:bidi="ar"/>
          <w14:textFill>
            <w14:solidFill>
              <w14:schemeClr w14:val="tx1"/>
            </w14:solidFill>
          </w14:textFill>
        </w:rPr>
        <w:t>惠州</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大亚湾海事处等部门要健全公路、水路、航道等紧急运输保障体系，负责组织提供应急响应所需的交通运输保障。公安部门要加强应急交通管理，保障运送伤病员、应急救援人员、物资、装备、器材车辆的优先通行。</w:t>
      </w:r>
    </w:p>
    <w:p w14:paraId="43E10317">
      <w:pPr>
        <w:pStyle w:val="4"/>
        <w:shd w:val="clear"/>
        <w:rPr>
          <w:rFonts w:hint="default" w:ascii="Times New Roman" w:hAnsi="Times New Roman" w:cs="Times New Roman"/>
          <w:highlight w:val="none"/>
        </w:rPr>
      </w:pPr>
      <w:bookmarkStart w:id="164" w:name="_Toc10241"/>
      <w:bookmarkStart w:id="165" w:name="_Toc19709"/>
      <w:bookmarkStart w:id="166" w:name="_Toc8697"/>
      <w:bookmarkStart w:id="167" w:name="_Toc4377"/>
      <w:r>
        <w:rPr>
          <w:rFonts w:hint="default" w:ascii="Times New Roman" w:hAnsi="Times New Roman" w:cs="Times New Roman"/>
          <w:highlight w:val="none"/>
        </w:rPr>
        <w:t>通信保障</w:t>
      </w:r>
      <w:bookmarkEnd w:id="164"/>
      <w:bookmarkEnd w:id="165"/>
      <w:bookmarkEnd w:id="166"/>
      <w:bookmarkEnd w:id="167"/>
    </w:p>
    <w:p w14:paraId="183D14C5">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中国电信大亚湾分公司、中国移动大亚湾分公司等通信部门要建立健全突发环境事件应急通讯保障体系，确保应急期间通信联络和信息传递需要。突发环境事件应急通讯系统包括事件报警、应急指挥、应急信息发布三部分。</w:t>
      </w:r>
    </w:p>
    <w:p w14:paraId="7B036DD4">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bookmarkStart w:id="168" w:name="_Toc177553300"/>
      <w:bookmarkEnd w:id="168"/>
      <w:bookmarkStart w:id="169" w:name="_Toc178258260"/>
      <w:bookmarkEnd w:id="169"/>
      <w:bookmarkStart w:id="170" w:name="_Toc178258257"/>
      <w:bookmarkEnd w:id="170"/>
      <w:bookmarkStart w:id="171" w:name="_Toc178258262"/>
      <w:bookmarkEnd w:id="171"/>
      <w:bookmarkStart w:id="172" w:name="_Toc156311960"/>
      <w:bookmarkEnd w:id="172"/>
      <w:bookmarkStart w:id="173" w:name="_Toc156311963"/>
      <w:bookmarkEnd w:id="173"/>
      <w:bookmarkStart w:id="174" w:name="_Toc156311964"/>
      <w:bookmarkEnd w:id="174"/>
      <w:bookmarkStart w:id="175" w:name="_Toc177553303"/>
      <w:bookmarkEnd w:id="175"/>
      <w:bookmarkStart w:id="176" w:name="_Toc178258263"/>
      <w:bookmarkEnd w:id="176"/>
      <w:bookmarkStart w:id="177" w:name="_Toc177553302"/>
      <w:bookmarkEnd w:id="177"/>
      <w:bookmarkStart w:id="178" w:name="_Toc177553306"/>
      <w:bookmarkEnd w:id="178"/>
      <w:bookmarkStart w:id="179" w:name="_Toc156311962"/>
      <w:bookmarkEnd w:id="179"/>
      <w:bookmarkStart w:id="180" w:name="_Toc177553305"/>
      <w:bookmarkEnd w:id="180"/>
      <w:bookmarkStart w:id="181" w:name="_Toc177553301"/>
      <w:bookmarkEnd w:id="181"/>
      <w:bookmarkStart w:id="182" w:name="_Toc178258259"/>
      <w:bookmarkEnd w:id="182"/>
      <w:bookmarkStart w:id="183" w:name="_Toc156311959"/>
      <w:bookmarkEnd w:id="183"/>
      <w:bookmarkStart w:id="184" w:name="_Toc177553299"/>
      <w:bookmarkEnd w:id="184"/>
      <w:bookmarkStart w:id="185" w:name="_Toc178258258"/>
      <w:bookmarkEnd w:id="185"/>
      <w:bookmarkStart w:id="186" w:name="_Toc177553304"/>
      <w:bookmarkEnd w:id="186"/>
      <w:bookmarkStart w:id="187" w:name="_Toc156311961"/>
      <w:bookmarkEnd w:id="187"/>
      <w:bookmarkStart w:id="188" w:name="_Toc156311965"/>
      <w:bookmarkEnd w:id="188"/>
      <w:bookmarkStart w:id="189" w:name="_Toc178258261"/>
      <w:bookmarkEnd w:id="189"/>
      <w:bookmarkStart w:id="190" w:name="_Toc178258264"/>
      <w:bookmarkEnd w:id="190"/>
      <w:bookmarkStart w:id="191" w:name="_Toc156311966"/>
      <w:bookmarkEnd w:id="191"/>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（1）事件报警</w:t>
      </w:r>
    </w:p>
    <w:p w14:paraId="369AD181">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事件报警电话为：报警中心（110）、区总值班室（5562309）、环境污染投诉电话（12369、0752-5573000）。</w:t>
      </w:r>
    </w:p>
    <w:p w14:paraId="226875B6">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（2）应急指挥</w:t>
      </w:r>
    </w:p>
    <w:p w14:paraId="4EB3638A">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应急指挥系统由</w:t>
      </w:r>
      <w:r>
        <w:rPr>
          <w:rFonts w:hint="eastAsia" w:ascii="Times New Roman" w:hAnsi="Times New Roman" w:eastAsia="仿宋" w:cs="Times New Roman"/>
          <w:color w:val="000000" w:themeColor="text1"/>
          <w:szCs w:val="28"/>
          <w:highlight w:val="none"/>
          <w:lang w:val="en-US" w:eastAsia="zh-CN" w:bidi="ar"/>
          <w14:textFill>
            <w14:solidFill>
              <w14:schemeClr w14:val="tx1"/>
            </w14:solidFill>
          </w14:textFill>
        </w:rPr>
        <w:t>区环境应急指挥部</w:t>
      </w: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有线电话、手机和对讲机组成，采取有线通讯与无线通讯相结合的方式进行，应急通知的下达与接收，以有线通讯为主；与事发现场的应急人员联络，以无线通讯为主。区总值班室工作人员每天24小时保持通讯通畅，节假日安排人员电话值班，确保应急时信息上传下达及时，能够统一准确调动有关人员、物资迅速到位。</w:t>
      </w:r>
    </w:p>
    <w:p w14:paraId="5B81E7FC">
      <w:pPr>
        <w:pStyle w:val="4"/>
        <w:shd w:val="clear"/>
        <w:rPr>
          <w:rFonts w:hint="default" w:ascii="Times New Roman" w:hAnsi="Times New Roman" w:cs="Times New Roman"/>
          <w:highlight w:val="none"/>
        </w:rPr>
      </w:pPr>
      <w:bookmarkStart w:id="192" w:name="_Toc27370"/>
      <w:bookmarkStart w:id="193" w:name="_Toc25956"/>
      <w:bookmarkStart w:id="194" w:name="_Toc23414"/>
      <w:bookmarkStart w:id="195" w:name="_Toc4517"/>
      <w:r>
        <w:rPr>
          <w:rFonts w:hint="default" w:ascii="Times New Roman" w:hAnsi="Times New Roman" w:cs="Times New Roman"/>
          <w:highlight w:val="none"/>
        </w:rPr>
        <w:t>治安</w:t>
      </w:r>
      <w:bookmarkEnd w:id="192"/>
      <w:bookmarkEnd w:id="193"/>
      <w:r>
        <w:rPr>
          <w:rFonts w:hint="default" w:ascii="Times New Roman" w:hAnsi="Times New Roman" w:cs="Times New Roman"/>
          <w:highlight w:val="none"/>
        </w:rPr>
        <w:t>维护</w:t>
      </w:r>
      <w:bookmarkEnd w:id="194"/>
      <w:bookmarkEnd w:id="195"/>
    </w:p>
    <w:p w14:paraId="5A4D9BA4">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区公安分局应当对突发环境事件应急处置中的重要目标和危险区域实施治安、警戒和交通道路管制。</w:t>
      </w:r>
    </w:p>
    <w:p w14:paraId="5839DC7F">
      <w:pPr>
        <w:pStyle w:val="4"/>
        <w:shd w:val="clear"/>
        <w:rPr>
          <w:rFonts w:hint="default" w:ascii="Times New Roman" w:hAnsi="Times New Roman" w:cs="Times New Roman"/>
          <w:highlight w:val="none"/>
        </w:rPr>
      </w:pPr>
      <w:bookmarkStart w:id="196" w:name="_Toc10868"/>
      <w:bookmarkStart w:id="197" w:name="_Toc29924"/>
      <w:bookmarkStart w:id="198" w:name="_Toc20612"/>
      <w:bookmarkStart w:id="199" w:name="_Toc14604"/>
      <w:r>
        <w:rPr>
          <w:rFonts w:hint="default" w:ascii="Times New Roman" w:hAnsi="Times New Roman" w:cs="Times New Roman"/>
          <w:highlight w:val="none"/>
        </w:rPr>
        <w:t>保险制度</w:t>
      </w:r>
      <w:bookmarkEnd w:id="196"/>
      <w:bookmarkEnd w:id="197"/>
      <w:bookmarkEnd w:id="198"/>
      <w:bookmarkEnd w:id="199"/>
    </w:p>
    <w:p w14:paraId="4F1A32EC">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区管委会对环境应急工作人员办理意外伤害保险。可能引起环境污染的企业事业单位要依法办理环境污染责任保险、特殊风险保险等相关保险。</w:t>
      </w:r>
    </w:p>
    <w:p w14:paraId="5F6E23B3">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鼓励开展环境污染责任保险试点，探索对高污染、高环境风险及处于环境敏感地区的企业实行强制保险。鼓励保险公司根据生态环境部门要求、地区环境风险评估情况和企业需求，做好环境污染责任保险产品的开发工作，为环境风险提供保险保障，做好突发环境事件的应争处置、定损、赔偿等服务。鼓励社会公众参与商业保险和参加互助保险，建立突发环境事件风险分担机制。</w:t>
      </w:r>
    </w:p>
    <w:p w14:paraId="7389417C">
      <w:pPr>
        <w:pStyle w:val="4"/>
        <w:shd w:val="clear"/>
        <w:rPr>
          <w:rFonts w:hint="default" w:ascii="Times New Roman" w:hAnsi="Times New Roman" w:cs="Times New Roman"/>
          <w:highlight w:val="none"/>
        </w:rPr>
      </w:pPr>
      <w:bookmarkStart w:id="200" w:name="_Toc19339"/>
      <w:bookmarkStart w:id="201" w:name="_Toc6062"/>
      <w:bookmarkStart w:id="202" w:name="_Toc26510"/>
      <w:bookmarkStart w:id="203" w:name="_Toc24761"/>
      <w:r>
        <w:rPr>
          <w:rFonts w:hint="default" w:ascii="Times New Roman" w:hAnsi="Times New Roman" w:cs="Times New Roman"/>
          <w:highlight w:val="none"/>
        </w:rPr>
        <w:t>技术保障</w:t>
      </w:r>
      <w:bookmarkEnd w:id="200"/>
      <w:bookmarkEnd w:id="201"/>
      <w:bookmarkEnd w:id="202"/>
      <w:bookmarkEnd w:id="203"/>
    </w:p>
    <w:p w14:paraId="506370DA">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区管委会设立专项资金专用于突发环境事件的监测监控、预测预警、现场处置等先进技术的研究开发工作，加强环境应急专家库的建设，为突发环境事件的应急处置与救援决策提供技术支撑。</w:t>
      </w:r>
    </w:p>
    <w:p w14:paraId="41627D6B">
      <w:pPr>
        <w:pStyle w:val="4"/>
        <w:shd w:val="clear"/>
        <w:rPr>
          <w:rFonts w:hint="default" w:ascii="Times New Roman" w:hAnsi="Times New Roman" w:cs="Times New Roman"/>
          <w:highlight w:val="none"/>
        </w:rPr>
      </w:pPr>
      <w:bookmarkStart w:id="204" w:name="_Toc10225"/>
      <w:bookmarkStart w:id="205" w:name="_Toc14319"/>
      <w:bookmarkStart w:id="206" w:name="_Toc25541"/>
      <w:bookmarkStart w:id="207" w:name="_Toc22034"/>
      <w:r>
        <w:rPr>
          <w:rFonts w:hint="default" w:ascii="Times New Roman" w:hAnsi="Times New Roman" w:cs="Times New Roman"/>
          <w:highlight w:val="none"/>
        </w:rPr>
        <w:t>区域协作</w:t>
      </w:r>
      <w:bookmarkEnd w:id="204"/>
      <w:bookmarkEnd w:id="205"/>
      <w:bookmarkEnd w:id="206"/>
      <w:bookmarkEnd w:id="207"/>
    </w:p>
    <w:p w14:paraId="2292F967">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管委会有关部门应当加强应急处置区域合作，建立健全突发环境事件应急处置联动机制。有关管理单位应做好石化区、荃湾石化仓储区公共应急池系统的维护管理，确保管网设施能有效使用；相邻企业在确保安全的前提下可考虑建设应急池互通管网，避免极端情况下企业应急池容量不足导致消防废水外溢，而引发次生污染事件。</w:t>
      </w:r>
    </w:p>
    <w:p w14:paraId="623EB089">
      <w:pPr>
        <w:pStyle w:val="3"/>
        <w:shd w:val="clear"/>
        <w:rPr>
          <w:rFonts w:hint="default" w:ascii="Times New Roman" w:hAnsi="Times New Roman" w:cs="Times New Roman"/>
          <w:highlight w:val="none"/>
        </w:rPr>
      </w:pPr>
      <w:bookmarkStart w:id="208" w:name="_Toc6329"/>
      <w:bookmarkStart w:id="209" w:name="_Toc5368"/>
      <w:bookmarkStart w:id="210" w:name="_Toc13653"/>
      <w:bookmarkStart w:id="211" w:name="_Toc26580"/>
      <w:r>
        <w:rPr>
          <w:rFonts w:hint="default" w:ascii="Times New Roman" w:hAnsi="Times New Roman" w:cs="Times New Roman"/>
          <w:highlight w:val="none"/>
        </w:rPr>
        <w:t>监督管理</w:t>
      </w:r>
      <w:bookmarkEnd w:id="208"/>
      <w:bookmarkEnd w:id="209"/>
      <w:bookmarkEnd w:id="210"/>
      <w:bookmarkEnd w:id="211"/>
    </w:p>
    <w:p w14:paraId="33CBEFD8">
      <w:pPr>
        <w:pStyle w:val="4"/>
        <w:shd w:val="clear"/>
        <w:rPr>
          <w:rFonts w:hint="default" w:ascii="Times New Roman" w:hAnsi="Times New Roman" w:cs="Times New Roman"/>
          <w:highlight w:val="none"/>
        </w:rPr>
      </w:pPr>
      <w:bookmarkStart w:id="212" w:name="_Toc8404"/>
      <w:bookmarkStart w:id="213" w:name="_Toc30808"/>
      <w:bookmarkStart w:id="214" w:name="_Toc18241"/>
      <w:bookmarkStart w:id="215" w:name="_Toc19042"/>
      <w:r>
        <w:rPr>
          <w:rFonts w:hint="default" w:ascii="Times New Roman" w:hAnsi="Times New Roman" w:cs="Times New Roman"/>
          <w:highlight w:val="none"/>
        </w:rPr>
        <w:t>应急演练</w:t>
      </w:r>
      <w:bookmarkEnd w:id="212"/>
      <w:bookmarkEnd w:id="213"/>
      <w:bookmarkEnd w:id="214"/>
      <w:bookmarkEnd w:id="215"/>
    </w:p>
    <w:p w14:paraId="41B67304">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各有关单位，按照本预案和相关专项预案的要求，积极参与由区及相关部门组织的应急演练，不断磨合、完善应急处置机制，提高防范和处置突发环境事件的技能，增强实战能力。</w:t>
      </w:r>
    </w:p>
    <w:p w14:paraId="5B3AC977">
      <w:pPr>
        <w:widowControl/>
        <w:shd w:val="clear"/>
        <w:ind w:firstLine="560"/>
        <w:rPr>
          <w:rFonts w:hint="eastAsia" w:ascii="仿宋" w:hAnsi="仿宋" w:eastAsia="仿宋" w:cs="仿宋"/>
          <w:color w:val="000000" w:themeColor="text1"/>
          <w:szCs w:val="28"/>
          <w:highlight w:val="none"/>
          <w:lang w:eastAsia="zh-CN" w:bidi="ar"/>
          <w14:textFill>
            <w14:solidFill>
              <w14:schemeClr w14:val="tx1"/>
            </w14:solidFill>
          </w14:textFill>
        </w:rPr>
      </w:pPr>
      <w:r>
        <w:rPr>
          <w:rFonts w:hint="eastAsia" w:ascii="仿宋" w:hAnsi="仿宋" w:eastAsia="仿宋" w:cs="仿宋"/>
          <w:color w:val="000000" w:themeColor="text1"/>
          <w:szCs w:val="28"/>
          <w:highlight w:val="none"/>
          <w:lang w:eastAsia="zh-CN" w:bidi="ar"/>
          <w14:textFill>
            <w14:solidFill>
              <w14:schemeClr w14:val="tx1"/>
            </w14:solidFill>
          </w14:textFill>
        </w:rPr>
        <w:t>区生态环境分局应建立健全环境应急预案演练制度，每年至少组织一次突发环境事件应急演练，并对环境应急预案演练结果进行评估，撰写演练评估报告；根据实际需要和情势变化，组织对环境应急预案进行修订。</w:t>
      </w:r>
    </w:p>
    <w:p w14:paraId="23AA6A50">
      <w:pPr>
        <w:pStyle w:val="5"/>
        <w:shd w:val="clear"/>
        <w:rPr>
          <w:rFonts w:hint="default" w:ascii="Times New Roman" w:hAnsi="Times New Roman" w:cs="Times New Roman"/>
          <w:highlight w:val="none"/>
        </w:rPr>
      </w:pPr>
      <w:bookmarkStart w:id="216" w:name="_Toc156311976"/>
      <w:bookmarkStart w:id="217" w:name="_Toc10120"/>
      <w:r>
        <w:rPr>
          <w:rFonts w:hint="default" w:ascii="Times New Roman" w:hAnsi="Times New Roman" w:cs="Times New Roman"/>
          <w:highlight w:val="none"/>
        </w:rPr>
        <w:t>演练目的</w:t>
      </w:r>
      <w:bookmarkEnd w:id="216"/>
      <w:bookmarkEnd w:id="217"/>
    </w:p>
    <w:p w14:paraId="5FA6010E">
      <w:pPr>
        <w:widowControl/>
        <w:shd w:val="clear"/>
        <w:ind w:firstLine="560"/>
        <w:rPr>
          <w:rFonts w:hint="eastAsia" w:ascii="仿宋" w:hAnsi="仿宋" w:eastAsia="仿宋" w:cs="仿宋"/>
          <w:color w:val="000000" w:themeColor="text1"/>
          <w:szCs w:val="28"/>
          <w:highlight w:val="none"/>
          <w:lang w:eastAsia="zh-CN" w:bidi="ar"/>
          <w14:textFill>
            <w14:solidFill>
              <w14:schemeClr w14:val="tx1"/>
            </w14:solidFill>
          </w14:textFill>
        </w:rPr>
      </w:pPr>
      <w:r>
        <w:rPr>
          <w:rFonts w:hint="eastAsia" w:ascii="仿宋" w:hAnsi="仿宋" w:eastAsia="仿宋" w:cs="仿宋"/>
          <w:color w:val="000000" w:themeColor="text1"/>
          <w:szCs w:val="28"/>
          <w:highlight w:val="none"/>
          <w:lang w:eastAsia="zh-CN" w:bidi="ar"/>
          <w14:textFill>
            <w14:solidFill>
              <w14:schemeClr w14:val="tx1"/>
            </w14:solidFill>
          </w14:textFill>
        </w:rPr>
        <w:t>检验</w:t>
      </w:r>
      <w:r>
        <w:rPr>
          <w:rFonts w:hint="eastAsia" w:ascii="仿宋" w:hAnsi="仿宋" w:eastAsia="仿宋" w:cs="仿宋"/>
          <w:color w:val="000000" w:themeColor="text1"/>
          <w:szCs w:val="28"/>
          <w:highlight w:val="none"/>
          <w:lang w:val="en-US" w:eastAsia="zh-CN" w:bidi="ar"/>
          <w14:textFill>
            <w14:solidFill>
              <w14:schemeClr w14:val="tx1"/>
            </w14:solidFill>
          </w14:textFill>
        </w:rPr>
        <w:t>区环境应急</w:t>
      </w:r>
      <w:r>
        <w:rPr>
          <w:rFonts w:hint="eastAsia" w:ascii="仿宋" w:hAnsi="仿宋" w:eastAsia="仿宋" w:cs="仿宋"/>
          <w:color w:val="000000" w:themeColor="text1"/>
          <w:szCs w:val="28"/>
          <w:highlight w:val="none"/>
          <w:lang w:eastAsia="zh-CN" w:bidi="ar"/>
          <w14:textFill>
            <w14:solidFill>
              <w14:schemeClr w14:val="tx1"/>
            </w14:solidFill>
          </w14:textFill>
        </w:rPr>
        <w:t>指挥部各成员单位的应急能力，检查各应急响应组织针对可能发生的各种紧急情况的应对能力、各救援队伍之间互相支援协调的能力，使参加演练的所有成员能够全面提高应急抢险技术、救护技术及自救能力，从演练中发现预案存在的问题，改进预案。</w:t>
      </w:r>
    </w:p>
    <w:p w14:paraId="41F3206F">
      <w:pPr>
        <w:pStyle w:val="5"/>
        <w:shd w:val="clear"/>
        <w:rPr>
          <w:rFonts w:hint="default" w:ascii="Times New Roman" w:hAnsi="Times New Roman" w:cs="Times New Roman"/>
          <w:highlight w:val="none"/>
        </w:rPr>
      </w:pPr>
      <w:bookmarkStart w:id="218" w:name="_Toc20132"/>
      <w:bookmarkStart w:id="219" w:name="_Toc156311977"/>
      <w:r>
        <w:rPr>
          <w:rFonts w:hint="default" w:ascii="Times New Roman" w:hAnsi="Times New Roman" w:cs="Times New Roman"/>
          <w:highlight w:val="none"/>
        </w:rPr>
        <w:t>演练内容</w:t>
      </w:r>
      <w:bookmarkEnd w:id="218"/>
      <w:bookmarkEnd w:id="219"/>
    </w:p>
    <w:p w14:paraId="42FCACA0">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（1）区突发环境事件应急救援方案整体运作程序及事故发生的应急处置；</w:t>
      </w:r>
    </w:p>
    <w:p w14:paraId="2505AB2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（2）应急人员的配备，各类应急器材的使用；</w:t>
      </w:r>
    </w:p>
    <w:p w14:paraId="404E7A5F">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（3）各专业救援队伍的协调配合能力，事故发生后的应急响应时间；</w:t>
      </w:r>
    </w:p>
    <w:p w14:paraId="3F78319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（4）应急措施的有效性；</w:t>
      </w:r>
    </w:p>
    <w:p w14:paraId="516B4334">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（5）通信及报警讯号联络；</w:t>
      </w:r>
    </w:p>
    <w:p w14:paraId="204F1873">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（6）消毒及洗消处理；</w:t>
      </w:r>
    </w:p>
    <w:p w14:paraId="27B368A6">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（7）急救及医疗；</w:t>
      </w:r>
    </w:p>
    <w:p w14:paraId="4CFE59BC">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（8）防护指导：包括专业人员的个人防护及员工的自我防护；</w:t>
      </w:r>
    </w:p>
    <w:p w14:paraId="092E54E1">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（9）标志设置警戒范围人员控制，厂内交通控制及管理；</w:t>
      </w:r>
    </w:p>
    <w:p w14:paraId="5378113A">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（10）事故区域内人员的疏散撤离及人员清查；</w:t>
      </w:r>
    </w:p>
    <w:p w14:paraId="487FFC57">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（11）向上级报告情况；</w:t>
      </w:r>
    </w:p>
    <w:p w14:paraId="577EC9C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（12）事故的善后工作，应急处置废物的处理。</w:t>
      </w:r>
    </w:p>
    <w:p w14:paraId="3EAEEC44">
      <w:pPr>
        <w:pStyle w:val="5"/>
        <w:shd w:val="clear"/>
        <w:rPr>
          <w:rFonts w:hint="default" w:ascii="Times New Roman" w:hAnsi="Times New Roman" w:cs="Times New Roman"/>
          <w:highlight w:val="none"/>
        </w:rPr>
      </w:pPr>
      <w:bookmarkStart w:id="220" w:name="_Toc156311978"/>
      <w:bookmarkStart w:id="221" w:name="_Toc7894"/>
      <w:r>
        <w:rPr>
          <w:rFonts w:hint="default" w:ascii="Times New Roman" w:hAnsi="Times New Roman" w:cs="Times New Roman"/>
          <w:highlight w:val="none"/>
        </w:rPr>
        <w:t>演练总结</w:t>
      </w:r>
      <w:bookmarkEnd w:id="220"/>
      <w:bookmarkEnd w:id="221"/>
    </w:p>
    <w:p w14:paraId="7A7F262E">
      <w:pPr>
        <w:widowControl/>
        <w:shd w:val="clear"/>
        <w:ind w:firstLine="560"/>
        <w:rPr>
          <w:rFonts w:hint="default" w:ascii="Times New Roman" w:hAnsi="Times New Roman" w:cs="Times New Roman"/>
          <w:highlight w:val="none"/>
          <w:lang w:eastAsia="zh-CN"/>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每次演练结束后及时总结讲评演练，从中积累经验，发现预案中存在的问题，确定改进措施，不断完善预案。重点讲评的内容有：演练项目设计的合理性、演练的准确情况、指挥系统的一致性、预案有关程序内容的适应性、应急救援器材设备匹配程度、各专业队相互协调协助能力、救援人员技能等。</w:t>
      </w:r>
    </w:p>
    <w:p w14:paraId="26DC41E3">
      <w:pPr>
        <w:pStyle w:val="4"/>
        <w:shd w:val="clear"/>
        <w:rPr>
          <w:rFonts w:hint="default" w:ascii="Times New Roman" w:hAnsi="Times New Roman" w:cs="Times New Roman"/>
          <w:highlight w:val="none"/>
        </w:rPr>
      </w:pPr>
      <w:bookmarkStart w:id="222" w:name="_Toc177553314"/>
      <w:bookmarkEnd w:id="222"/>
      <w:bookmarkStart w:id="223" w:name="_Toc156311974"/>
      <w:bookmarkEnd w:id="223"/>
      <w:bookmarkStart w:id="224" w:name="_Toc178258273"/>
      <w:bookmarkEnd w:id="224"/>
      <w:bookmarkStart w:id="225" w:name="_Toc181279719"/>
      <w:bookmarkEnd w:id="225"/>
      <w:bookmarkStart w:id="226" w:name="_Toc177553315"/>
      <w:bookmarkEnd w:id="226"/>
      <w:bookmarkStart w:id="227" w:name="_Toc156311975"/>
      <w:bookmarkEnd w:id="227"/>
      <w:bookmarkStart w:id="228" w:name="_Toc178258272"/>
      <w:bookmarkEnd w:id="228"/>
      <w:bookmarkStart w:id="229" w:name="_Toc181279718"/>
      <w:bookmarkEnd w:id="229"/>
      <w:bookmarkStart w:id="230" w:name="_Toc30896"/>
      <w:bookmarkStart w:id="231" w:name="_Toc30840"/>
      <w:bookmarkStart w:id="232" w:name="_Toc6691"/>
      <w:bookmarkStart w:id="233" w:name="_Toc25571"/>
      <w:r>
        <w:rPr>
          <w:rFonts w:hint="default" w:ascii="Times New Roman" w:hAnsi="Times New Roman" w:cs="Times New Roman"/>
          <w:highlight w:val="none"/>
        </w:rPr>
        <w:t>宣教培训</w:t>
      </w:r>
      <w:bookmarkEnd w:id="230"/>
      <w:bookmarkEnd w:id="231"/>
      <w:bookmarkEnd w:id="232"/>
      <w:bookmarkEnd w:id="233"/>
    </w:p>
    <w:p w14:paraId="659254D6">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生态环境分局应当组织开展环境应急预案的宣传教育，普及突发环境事件预防、避险、自救、互救和应急处置知识，建立健全突发环境事件应急管理培训制度，定期开展环境应急管理形势和突发环境事件应急预案的宣传和教育工作。</w:t>
      </w:r>
    </w:p>
    <w:p w14:paraId="514B43C6">
      <w:pPr>
        <w:pStyle w:val="4"/>
        <w:shd w:val="clear"/>
        <w:rPr>
          <w:rFonts w:hint="default" w:ascii="Times New Roman" w:hAnsi="Times New Roman" w:cs="Times New Roman"/>
          <w:highlight w:val="none"/>
        </w:rPr>
      </w:pPr>
      <w:bookmarkStart w:id="234" w:name="_Toc4546"/>
      <w:bookmarkStart w:id="235" w:name="_Toc12302"/>
      <w:bookmarkStart w:id="236" w:name="_Toc28482"/>
      <w:bookmarkStart w:id="237" w:name="_Toc16050"/>
      <w:r>
        <w:rPr>
          <w:rFonts w:hint="default" w:ascii="Times New Roman" w:hAnsi="Times New Roman" w:cs="Times New Roman"/>
          <w:highlight w:val="none"/>
        </w:rPr>
        <w:t>监督考核</w:t>
      </w:r>
      <w:bookmarkEnd w:id="234"/>
      <w:bookmarkEnd w:id="235"/>
      <w:bookmarkEnd w:id="236"/>
      <w:bookmarkEnd w:id="237"/>
    </w:p>
    <w:p w14:paraId="6F6D4C9C">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区管委会各职能部门负责落实突发环境事件应急预案体系中规定的职责。</w:t>
      </w:r>
    </w:p>
    <w:p w14:paraId="171A0A73">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对各级环境应急机构的设置情况、环境应急预案的制定执行情况、工作制度和工作程序的建立与执行情况、队伍的建设和人员培训与考核情况等，应建立自上而下的监督、检查和考核工作机制。同时，应建立对应急装备和经费管理与使用情况等的审计监督制度。</w:t>
      </w:r>
    </w:p>
    <w:p w14:paraId="7CB6F5FB">
      <w:pPr>
        <w:pStyle w:val="4"/>
        <w:shd w:val="clear"/>
        <w:rPr>
          <w:rFonts w:hint="default" w:ascii="Times New Roman" w:hAnsi="Times New Roman" w:cs="Times New Roman"/>
          <w:highlight w:val="none"/>
        </w:rPr>
      </w:pPr>
      <w:bookmarkStart w:id="238" w:name="_Toc15038"/>
      <w:bookmarkStart w:id="239" w:name="_Toc21895"/>
      <w:bookmarkStart w:id="240" w:name="_Toc32077"/>
      <w:bookmarkStart w:id="241" w:name="_Toc14308"/>
      <w:r>
        <w:rPr>
          <w:rFonts w:hint="default" w:ascii="Times New Roman" w:hAnsi="Times New Roman" w:cs="Times New Roman"/>
          <w:highlight w:val="none"/>
        </w:rPr>
        <w:t>责任追究</w:t>
      </w:r>
      <w:bookmarkEnd w:id="238"/>
      <w:bookmarkEnd w:id="239"/>
      <w:bookmarkEnd w:id="240"/>
      <w:bookmarkEnd w:id="241"/>
    </w:p>
    <w:p w14:paraId="2B25070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突发环境事件应急工作实行行政领导负责制和责任追究制。</w:t>
      </w:r>
    </w:p>
    <w:p w14:paraId="50778D2D">
      <w:pPr>
        <w:pStyle w:val="5"/>
        <w:shd w:val="clear"/>
        <w:rPr>
          <w:rFonts w:hint="default" w:ascii="Times New Roman" w:hAnsi="Times New Roman" w:cs="Times New Roman"/>
          <w:highlight w:val="none"/>
          <w:lang w:bidi="ar"/>
        </w:rPr>
      </w:pPr>
      <w:bookmarkStart w:id="242" w:name="_Toc181279724"/>
      <w:bookmarkEnd w:id="242"/>
      <w:bookmarkStart w:id="243" w:name="_Toc177553324"/>
      <w:bookmarkEnd w:id="243"/>
      <w:bookmarkStart w:id="244" w:name="_Toc177553323"/>
      <w:bookmarkEnd w:id="244"/>
      <w:bookmarkStart w:id="245" w:name="_Toc181279723"/>
      <w:bookmarkEnd w:id="245"/>
      <w:bookmarkStart w:id="246" w:name="_Toc156311983"/>
      <w:bookmarkEnd w:id="246"/>
      <w:bookmarkStart w:id="247" w:name="_Toc156311982"/>
      <w:bookmarkEnd w:id="247"/>
      <w:bookmarkStart w:id="248" w:name="_Toc181279725"/>
      <w:bookmarkEnd w:id="248"/>
      <w:bookmarkStart w:id="249" w:name="_Toc156311984"/>
      <w:bookmarkEnd w:id="249"/>
      <w:bookmarkStart w:id="250" w:name="_Toc178258281"/>
      <w:bookmarkEnd w:id="250"/>
      <w:bookmarkStart w:id="251" w:name="_Toc178258280"/>
      <w:bookmarkEnd w:id="251"/>
      <w:bookmarkStart w:id="252" w:name="_Toc178258282"/>
      <w:bookmarkEnd w:id="252"/>
      <w:bookmarkStart w:id="253" w:name="_Toc177553322"/>
      <w:bookmarkEnd w:id="253"/>
      <w:bookmarkStart w:id="254" w:name="_Toc22508"/>
      <w:r>
        <w:rPr>
          <w:rFonts w:hint="default" w:ascii="Times New Roman" w:hAnsi="Times New Roman" w:cs="Times New Roman"/>
          <w:highlight w:val="none"/>
          <w:lang w:bidi="ar"/>
        </w:rPr>
        <w:t>奖励</w:t>
      </w:r>
      <w:bookmarkEnd w:id="254"/>
    </w:p>
    <w:p w14:paraId="1126B137">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在突发环境事件应急工作中，有下列事迹之一的单位、个人及专家，应依据有关规定给予奖励：</w:t>
      </w:r>
    </w:p>
    <w:p w14:paraId="55669016">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（1）完成突发环境事件应急处置任务，成绩显著的；</w:t>
      </w:r>
    </w:p>
    <w:p w14:paraId="41903914">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（2）在突发环境事件应急处置中，使人民群众的生命财产免受或者减少损失的；</w:t>
      </w:r>
    </w:p>
    <w:p w14:paraId="6A703365">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（3）对突发环境事件应急工作提出重大建议，实施效果显著的；</w:t>
      </w:r>
    </w:p>
    <w:p w14:paraId="2F0BB180">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（4）有其他特殊贡献的。</w:t>
      </w:r>
    </w:p>
    <w:p w14:paraId="02D75541">
      <w:pPr>
        <w:pStyle w:val="5"/>
        <w:shd w:val="clear"/>
        <w:rPr>
          <w:rFonts w:hint="default" w:ascii="Times New Roman" w:hAnsi="Times New Roman" w:cs="Times New Roman"/>
          <w:highlight w:val="none"/>
          <w:lang w:bidi="ar"/>
        </w:rPr>
      </w:pPr>
      <w:bookmarkStart w:id="255" w:name="_Toc8432"/>
      <w:r>
        <w:rPr>
          <w:rFonts w:hint="default" w:ascii="Times New Roman" w:hAnsi="Times New Roman" w:cs="Times New Roman"/>
          <w:highlight w:val="none"/>
          <w:lang w:bidi="ar"/>
        </w:rPr>
        <w:t>责任</w:t>
      </w:r>
      <w:bookmarkEnd w:id="255"/>
    </w:p>
    <w:p w14:paraId="21C6B14F">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在突发环境事件应急工作中，有下列行为之一的，按照有关法律和规定，对有关责任人员视情节和危害后果，由其所在单位或者上级机关给予处分；构成犯罪的，由司法机关依法追究刑事责任：</w:t>
      </w:r>
    </w:p>
    <w:p w14:paraId="6E28FB3B">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（1）未认真履行环保法律、法规规定的义务，引发突发环境事件的；</w:t>
      </w:r>
    </w:p>
    <w:p w14:paraId="5118A6F0">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（2）未按照规定制定突发环境事件应急预案，拒绝承担突发环境事件应急准备义务的；</w:t>
      </w:r>
    </w:p>
    <w:p w14:paraId="02E0B14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（3）未按规定报告、通报突发环境事件真实情况的；</w:t>
      </w:r>
    </w:p>
    <w:p w14:paraId="53F494AA">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（4）拒不执行突发环境事件应急预案，不服从命令和指挥，或者在事件应急响应时临阵脱逃的；</w:t>
      </w:r>
    </w:p>
    <w:p w14:paraId="38DE24B0">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（5）盗窃、贪污、挪用突发环境事件应急工作资金、装备和物资的；</w:t>
      </w:r>
    </w:p>
    <w:p w14:paraId="07F2048E">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（6）阻碍突发环境事件应急工作人员依法执行公务或者进行破坏活动的；</w:t>
      </w:r>
    </w:p>
    <w:p w14:paraId="4972B4F4">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（7）散布谣言、扰乱社会秩序的；</w:t>
      </w:r>
    </w:p>
    <w:p w14:paraId="22B55FB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（8）对突发环境事件应急工作造成其他危害的</w:t>
      </w:r>
      <w:r>
        <w:rPr>
          <w:rFonts w:hint="eastAsia" w:ascii="Times New Roman" w:hAnsi="Times New Roman" w:eastAsia="仿宋" w:cs="Times New Roman"/>
          <w:color w:val="000000" w:themeColor="text1"/>
          <w:szCs w:val="28"/>
          <w:highlight w:val="none"/>
          <w:lang w:eastAsia="zh-CN" w:bidi="ar"/>
          <w14:textFill>
            <w14:solidFill>
              <w14:schemeClr w14:val="tx1"/>
            </w14:solidFill>
          </w14:textFill>
        </w:rPr>
        <w:t>；</w:t>
      </w:r>
    </w:p>
    <w:p w14:paraId="4350781D">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（9）未按照规定采取预防措施，导致发生突发环境事件，或者未采取必要的防范措施，导致发生次生、衍生环境事件的；</w:t>
      </w:r>
    </w:p>
    <w:p w14:paraId="7DF07D1B">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（10）未按照规定及时发布突发环境事件警报、采取预警期的措施，导致损害发生的；</w:t>
      </w:r>
    </w:p>
    <w:p w14:paraId="7C6FCA87">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（11）未按照规定及时采取措施处置突发环境事件或者处置不当，造成后果的；</w:t>
      </w:r>
    </w:p>
    <w:p w14:paraId="4959D82F">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（12）违反法律规定采取应对措施，侵犯公民生命健康权益的；</w:t>
      </w:r>
    </w:p>
    <w:p w14:paraId="0E8444FA">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（13）不及时归还征用的单位和个人的财产，或者对被征用财产的单位和个人不按照规定给予补偿的；</w:t>
      </w:r>
    </w:p>
    <w:p w14:paraId="482CD862">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（14）突发事件发生后采取违法手段歪曲、掩盖事实逃避法律追究，或者包庇对突发事件负有责任的单位或者个人的。</w:t>
      </w:r>
    </w:p>
    <w:p w14:paraId="176F0A8E">
      <w:pPr>
        <w:pStyle w:val="3"/>
        <w:shd w:val="clear"/>
        <w:rPr>
          <w:rFonts w:hint="default" w:ascii="Times New Roman" w:hAnsi="Times New Roman" w:cs="Times New Roman"/>
          <w:highlight w:val="none"/>
        </w:rPr>
      </w:pPr>
      <w:bookmarkStart w:id="256" w:name="_Toc153285414"/>
      <w:bookmarkEnd w:id="256"/>
      <w:bookmarkStart w:id="257" w:name="_Toc153867468"/>
      <w:bookmarkEnd w:id="257"/>
      <w:bookmarkStart w:id="258" w:name="_Toc152899703"/>
      <w:bookmarkEnd w:id="258"/>
      <w:bookmarkStart w:id="259" w:name="_Toc154481251"/>
      <w:bookmarkEnd w:id="259"/>
      <w:bookmarkStart w:id="260" w:name="_Toc152896884"/>
      <w:bookmarkEnd w:id="260"/>
      <w:bookmarkStart w:id="261" w:name="_Toc178258285"/>
      <w:bookmarkEnd w:id="261"/>
      <w:bookmarkStart w:id="262" w:name="_Toc153315766"/>
      <w:bookmarkEnd w:id="262"/>
      <w:bookmarkStart w:id="263" w:name="_Toc153875937"/>
      <w:bookmarkEnd w:id="263"/>
      <w:bookmarkStart w:id="264" w:name="_Toc151383789"/>
      <w:bookmarkEnd w:id="264"/>
      <w:bookmarkStart w:id="265" w:name="_Toc153875095"/>
      <w:bookmarkEnd w:id="265"/>
      <w:bookmarkStart w:id="266" w:name="_Toc154405589"/>
      <w:bookmarkEnd w:id="266"/>
      <w:bookmarkStart w:id="267" w:name="_Toc152896888"/>
      <w:bookmarkEnd w:id="267"/>
      <w:bookmarkStart w:id="268" w:name="_Toc153874967"/>
      <w:bookmarkEnd w:id="268"/>
      <w:bookmarkStart w:id="269" w:name="_Toc154481248"/>
      <w:bookmarkEnd w:id="269"/>
      <w:bookmarkStart w:id="270" w:name="_Toc151383790"/>
      <w:bookmarkEnd w:id="270"/>
      <w:bookmarkStart w:id="271" w:name="_Toc153285417"/>
      <w:bookmarkEnd w:id="271"/>
      <w:bookmarkStart w:id="272" w:name="_Toc153867599"/>
      <w:bookmarkEnd w:id="272"/>
      <w:bookmarkStart w:id="273" w:name="_Toc181279807"/>
      <w:bookmarkEnd w:id="273"/>
      <w:bookmarkStart w:id="274" w:name="_Toc178258290"/>
      <w:bookmarkEnd w:id="274"/>
      <w:bookmarkStart w:id="275" w:name="_Toc181279734"/>
      <w:bookmarkEnd w:id="275"/>
      <w:bookmarkStart w:id="276" w:name="_Toc153150891"/>
      <w:bookmarkEnd w:id="276"/>
      <w:bookmarkStart w:id="277" w:name="_Toc153875092"/>
      <w:bookmarkEnd w:id="277"/>
      <w:bookmarkStart w:id="278" w:name="_Toc153285267"/>
      <w:bookmarkEnd w:id="278"/>
      <w:bookmarkStart w:id="279" w:name="_Toc181285797"/>
      <w:bookmarkEnd w:id="279"/>
      <w:bookmarkStart w:id="280" w:name="_Toc151542153"/>
      <w:bookmarkEnd w:id="280"/>
      <w:bookmarkStart w:id="281" w:name="_Toc181285730"/>
      <w:bookmarkEnd w:id="281"/>
      <w:bookmarkStart w:id="282" w:name="_Toc153285415"/>
      <w:bookmarkEnd w:id="282"/>
      <w:bookmarkStart w:id="283" w:name="_Toc181279951"/>
      <w:bookmarkEnd w:id="283"/>
      <w:bookmarkStart w:id="284" w:name="_Toc151542147"/>
      <w:bookmarkEnd w:id="284"/>
      <w:bookmarkStart w:id="285" w:name="_Toc151383791"/>
      <w:bookmarkEnd w:id="285"/>
      <w:bookmarkStart w:id="286" w:name="_Toc181279873"/>
      <w:bookmarkEnd w:id="286"/>
      <w:bookmarkStart w:id="287" w:name="_Toc153954145"/>
      <w:bookmarkEnd w:id="287"/>
      <w:bookmarkStart w:id="288" w:name="_Toc178258288"/>
      <w:bookmarkEnd w:id="288"/>
      <w:bookmarkStart w:id="289" w:name="_Toc153875936"/>
      <w:bookmarkEnd w:id="289"/>
      <w:bookmarkStart w:id="290" w:name="_Toc181285796"/>
      <w:bookmarkEnd w:id="290"/>
      <w:bookmarkStart w:id="291" w:name="_Toc154405591"/>
      <w:bookmarkEnd w:id="291"/>
      <w:bookmarkStart w:id="292" w:name="_Toc153874966"/>
      <w:bookmarkEnd w:id="292"/>
      <w:bookmarkStart w:id="293" w:name="_Toc181279875"/>
      <w:bookmarkEnd w:id="293"/>
      <w:bookmarkStart w:id="294" w:name="_Toc151383716"/>
      <w:bookmarkEnd w:id="294"/>
      <w:bookmarkStart w:id="295" w:name="_Toc153285413"/>
      <w:bookmarkEnd w:id="295"/>
      <w:bookmarkStart w:id="296" w:name="_Toc181279952"/>
      <w:bookmarkEnd w:id="296"/>
      <w:bookmarkStart w:id="297" w:name="_Toc152900406"/>
      <w:bookmarkEnd w:id="297"/>
      <w:bookmarkStart w:id="298" w:name="_Toc152896801"/>
      <w:bookmarkEnd w:id="298"/>
      <w:bookmarkStart w:id="299" w:name="_Toc181279871"/>
      <w:bookmarkEnd w:id="299"/>
      <w:bookmarkStart w:id="300" w:name="_Toc154405444"/>
      <w:bookmarkEnd w:id="300"/>
      <w:bookmarkStart w:id="301" w:name="_Toc152896885"/>
      <w:bookmarkEnd w:id="301"/>
      <w:bookmarkStart w:id="302" w:name="_Toc178258287"/>
      <w:bookmarkEnd w:id="302"/>
      <w:bookmarkStart w:id="303" w:name="_Toc151383786"/>
      <w:bookmarkEnd w:id="303"/>
      <w:bookmarkStart w:id="304" w:name="_Toc151542150"/>
      <w:bookmarkEnd w:id="304"/>
      <w:bookmarkStart w:id="305" w:name="_Toc146197300"/>
      <w:bookmarkEnd w:id="305"/>
      <w:bookmarkStart w:id="306" w:name="_Toc153151260"/>
      <w:bookmarkEnd w:id="306"/>
      <w:bookmarkStart w:id="307" w:name="_Toc181279874"/>
      <w:bookmarkEnd w:id="307"/>
      <w:bookmarkStart w:id="308" w:name="_Toc146197302"/>
      <w:bookmarkEnd w:id="308"/>
      <w:bookmarkStart w:id="309" w:name="_Toc153867600"/>
      <w:bookmarkEnd w:id="309"/>
      <w:bookmarkStart w:id="310" w:name="_Toc152899699"/>
      <w:bookmarkEnd w:id="310"/>
      <w:bookmarkStart w:id="311" w:name="_Toc152899698"/>
      <w:bookmarkEnd w:id="311"/>
      <w:bookmarkStart w:id="312" w:name="_Toc178258286"/>
      <w:bookmarkEnd w:id="312"/>
      <w:bookmarkStart w:id="313" w:name="_Toc177553327"/>
      <w:bookmarkEnd w:id="313"/>
      <w:bookmarkStart w:id="314" w:name="_Toc153315769"/>
      <w:bookmarkEnd w:id="314"/>
      <w:bookmarkStart w:id="315" w:name="_Toc156311987"/>
      <w:bookmarkEnd w:id="315"/>
      <w:bookmarkStart w:id="316" w:name="_Toc152896798"/>
      <w:bookmarkEnd w:id="316"/>
      <w:bookmarkStart w:id="317" w:name="_Toc154405446"/>
      <w:bookmarkEnd w:id="317"/>
      <w:bookmarkStart w:id="318" w:name="_Toc151542148"/>
      <w:bookmarkEnd w:id="318"/>
      <w:bookmarkStart w:id="319" w:name="_Toc152900402"/>
      <w:bookmarkEnd w:id="319"/>
      <w:bookmarkStart w:id="320" w:name="_Toc177553332"/>
      <w:bookmarkEnd w:id="320"/>
      <w:bookmarkStart w:id="321" w:name="_Toc153874965"/>
      <w:bookmarkEnd w:id="321"/>
      <w:bookmarkStart w:id="322" w:name="_Toc153285265"/>
      <w:bookmarkEnd w:id="322"/>
      <w:bookmarkStart w:id="323" w:name="_Toc153151261"/>
      <w:bookmarkEnd w:id="323"/>
      <w:bookmarkStart w:id="324" w:name="_Toc156311993"/>
      <w:bookmarkEnd w:id="324"/>
      <w:bookmarkStart w:id="325" w:name="_Toc151383785"/>
      <w:bookmarkEnd w:id="325"/>
      <w:bookmarkStart w:id="326" w:name="_Toc181279732"/>
      <w:bookmarkEnd w:id="326"/>
      <w:bookmarkStart w:id="327" w:name="_Toc153954142"/>
      <w:bookmarkEnd w:id="327"/>
      <w:bookmarkStart w:id="328" w:name="_Toc181285793"/>
      <w:bookmarkEnd w:id="328"/>
      <w:bookmarkStart w:id="329" w:name="_Toc177553333"/>
      <w:bookmarkEnd w:id="329"/>
      <w:bookmarkStart w:id="330" w:name="_Toc154405447"/>
      <w:bookmarkEnd w:id="330"/>
      <w:bookmarkStart w:id="331" w:name="_Toc156311989"/>
      <w:bookmarkEnd w:id="331"/>
      <w:bookmarkStart w:id="332" w:name="_Toc151542149"/>
      <w:bookmarkEnd w:id="332"/>
      <w:bookmarkStart w:id="333" w:name="_Toc181279804"/>
      <w:bookmarkEnd w:id="333"/>
      <w:bookmarkStart w:id="334" w:name="_Toc153151263"/>
      <w:bookmarkEnd w:id="334"/>
      <w:bookmarkStart w:id="335" w:name="_Toc156311992"/>
      <w:bookmarkEnd w:id="335"/>
      <w:bookmarkStart w:id="336" w:name="_Toc181279806"/>
      <w:bookmarkEnd w:id="336"/>
      <w:bookmarkStart w:id="337" w:name="_Toc154405445"/>
      <w:bookmarkEnd w:id="337"/>
      <w:bookmarkStart w:id="338" w:name="_Toc153874968"/>
      <w:bookmarkEnd w:id="338"/>
      <w:bookmarkStart w:id="339" w:name="_Toc181279733"/>
      <w:bookmarkEnd w:id="339"/>
      <w:bookmarkStart w:id="340" w:name="_Toc156311990"/>
      <w:bookmarkEnd w:id="340"/>
      <w:bookmarkStart w:id="341" w:name="_Toc181285731"/>
      <w:bookmarkEnd w:id="341"/>
      <w:bookmarkStart w:id="342" w:name="_Toc152899701"/>
      <w:bookmarkEnd w:id="342"/>
      <w:bookmarkStart w:id="343" w:name="_Toc152896799"/>
      <w:bookmarkEnd w:id="343"/>
      <w:bookmarkStart w:id="344" w:name="_Toc156311991"/>
      <w:bookmarkEnd w:id="344"/>
      <w:bookmarkStart w:id="345" w:name="_Toc153285266"/>
      <w:bookmarkEnd w:id="345"/>
      <w:bookmarkStart w:id="346" w:name="_Toc153954140"/>
      <w:bookmarkEnd w:id="346"/>
      <w:bookmarkStart w:id="347" w:name="_Toc151383710"/>
      <w:bookmarkEnd w:id="347"/>
      <w:bookmarkStart w:id="348" w:name="_Toc181279877"/>
      <w:bookmarkEnd w:id="348"/>
      <w:bookmarkStart w:id="349" w:name="_Toc153867603"/>
      <w:bookmarkEnd w:id="349"/>
      <w:bookmarkStart w:id="350" w:name="_Toc152900404"/>
      <w:bookmarkEnd w:id="350"/>
      <w:bookmarkStart w:id="351" w:name="_Toc152896800"/>
      <w:bookmarkEnd w:id="351"/>
      <w:bookmarkStart w:id="352" w:name="_Toc153874964"/>
      <w:bookmarkEnd w:id="352"/>
      <w:bookmarkStart w:id="353" w:name="_Toc152896795"/>
      <w:bookmarkEnd w:id="353"/>
      <w:bookmarkStart w:id="354" w:name="_Toc153151257"/>
      <w:bookmarkEnd w:id="354"/>
      <w:bookmarkStart w:id="355" w:name="_Toc181279950"/>
      <w:bookmarkEnd w:id="355"/>
      <w:bookmarkStart w:id="356" w:name="_Toc177553331"/>
      <w:bookmarkEnd w:id="356"/>
      <w:bookmarkStart w:id="357" w:name="_Toc181285728"/>
      <w:bookmarkEnd w:id="357"/>
      <w:bookmarkStart w:id="358" w:name="_Toc153867601"/>
      <w:bookmarkEnd w:id="358"/>
      <w:bookmarkStart w:id="359" w:name="_Toc181279949"/>
      <w:bookmarkEnd w:id="359"/>
      <w:bookmarkStart w:id="360" w:name="_Toc153150896"/>
      <w:bookmarkEnd w:id="360"/>
      <w:bookmarkStart w:id="361" w:name="_Toc153151259"/>
      <w:bookmarkEnd w:id="361"/>
      <w:bookmarkStart w:id="362" w:name="_Toc154405441"/>
      <w:bookmarkEnd w:id="362"/>
      <w:bookmarkStart w:id="363" w:name="_Toc151383712"/>
      <w:bookmarkEnd w:id="363"/>
      <w:bookmarkStart w:id="364" w:name="_Toc152896883"/>
      <w:bookmarkEnd w:id="364"/>
      <w:bookmarkStart w:id="365" w:name="_Toc154481249"/>
      <w:bookmarkEnd w:id="365"/>
      <w:bookmarkStart w:id="366" w:name="_Toc152900407"/>
      <w:bookmarkEnd w:id="366"/>
      <w:bookmarkStart w:id="367" w:name="_Toc151383711"/>
      <w:bookmarkEnd w:id="367"/>
      <w:bookmarkStart w:id="368" w:name="_Toc153875938"/>
      <w:bookmarkEnd w:id="368"/>
      <w:bookmarkStart w:id="369" w:name="_Toc153151258"/>
      <w:bookmarkEnd w:id="369"/>
      <w:bookmarkStart w:id="370" w:name="_Toc153150893"/>
      <w:bookmarkEnd w:id="370"/>
      <w:bookmarkStart w:id="371" w:name="_Toc154405442"/>
      <w:bookmarkEnd w:id="371"/>
      <w:bookmarkStart w:id="372" w:name="_Toc153874963"/>
      <w:bookmarkEnd w:id="372"/>
      <w:bookmarkStart w:id="373" w:name="_Toc181279872"/>
      <w:bookmarkEnd w:id="373"/>
      <w:bookmarkStart w:id="374" w:name="_Toc151542151"/>
      <w:bookmarkEnd w:id="374"/>
      <w:bookmarkStart w:id="375" w:name="_Toc152899700"/>
      <w:bookmarkEnd w:id="375"/>
      <w:bookmarkStart w:id="376" w:name="_Toc146197304"/>
      <w:bookmarkEnd w:id="376"/>
      <w:bookmarkStart w:id="377" w:name="_Toc153315770"/>
      <w:bookmarkEnd w:id="377"/>
      <w:bookmarkStart w:id="378" w:name="_Toc181279731"/>
      <w:bookmarkEnd w:id="378"/>
      <w:bookmarkStart w:id="379" w:name="_Toc181285734"/>
      <w:bookmarkEnd w:id="379"/>
      <w:bookmarkStart w:id="380" w:name="_Toc153285269"/>
      <w:bookmarkEnd w:id="380"/>
      <w:bookmarkStart w:id="381" w:name="_Toc153867470"/>
      <w:bookmarkEnd w:id="381"/>
      <w:bookmarkStart w:id="382" w:name="_Toc152896887"/>
      <w:bookmarkEnd w:id="382"/>
      <w:bookmarkStart w:id="383" w:name="_Toc181285798"/>
      <w:bookmarkEnd w:id="383"/>
      <w:bookmarkStart w:id="384" w:name="_Toc153867467"/>
      <w:bookmarkEnd w:id="384"/>
      <w:bookmarkStart w:id="385" w:name="_Toc178258289"/>
      <w:bookmarkEnd w:id="385"/>
      <w:bookmarkStart w:id="386" w:name="_Toc151383787"/>
      <w:bookmarkEnd w:id="386"/>
      <w:bookmarkStart w:id="387" w:name="_Toc153875094"/>
      <w:bookmarkEnd w:id="387"/>
      <w:bookmarkStart w:id="388" w:name="_Toc181279808"/>
      <w:bookmarkEnd w:id="388"/>
      <w:bookmarkStart w:id="389" w:name="_Toc153875941"/>
      <w:bookmarkEnd w:id="389"/>
      <w:bookmarkStart w:id="390" w:name="_Toc178258291"/>
      <w:bookmarkEnd w:id="390"/>
      <w:bookmarkStart w:id="391" w:name="_Toc181279876"/>
      <w:bookmarkEnd w:id="391"/>
      <w:bookmarkStart w:id="392" w:name="_Toc153954139"/>
      <w:bookmarkEnd w:id="392"/>
      <w:bookmarkStart w:id="393" w:name="_Toc153875097"/>
      <w:bookmarkEnd w:id="393"/>
      <w:bookmarkStart w:id="394" w:name="_Toc181279729"/>
      <w:bookmarkEnd w:id="394"/>
      <w:bookmarkStart w:id="395" w:name="_Toc153875939"/>
      <w:bookmarkEnd w:id="395"/>
      <w:bookmarkStart w:id="396" w:name="_Toc181279946"/>
      <w:bookmarkEnd w:id="396"/>
      <w:bookmarkStart w:id="397" w:name="_Toc152899704"/>
      <w:bookmarkEnd w:id="397"/>
      <w:bookmarkStart w:id="398" w:name="_Toc181279728"/>
      <w:bookmarkEnd w:id="398"/>
      <w:bookmarkStart w:id="399" w:name="_Toc153285264"/>
      <w:bookmarkEnd w:id="399"/>
      <w:bookmarkStart w:id="400" w:name="_Toc154405588"/>
      <w:bookmarkEnd w:id="400"/>
      <w:bookmarkStart w:id="401" w:name="_Toc153867471"/>
      <w:bookmarkEnd w:id="401"/>
      <w:bookmarkStart w:id="402" w:name="_Toc156311988"/>
      <w:bookmarkEnd w:id="402"/>
      <w:bookmarkStart w:id="403" w:name="_Toc181285729"/>
      <w:bookmarkEnd w:id="403"/>
      <w:bookmarkStart w:id="404" w:name="_Toc153875093"/>
      <w:bookmarkEnd w:id="404"/>
      <w:bookmarkStart w:id="405" w:name="_Toc181279947"/>
      <w:bookmarkEnd w:id="405"/>
      <w:bookmarkStart w:id="406" w:name="_Toc152900403"/>
      <w:bookmarkEnd w:id="406"/>
      <w:bookmarkStart w:id="407" w:name="_Toc153285411"/>
      <w:bookmarkEnd w:id="407"/>
      <w:bookmarkStart w:id="408" w:name="_Toc152900405"/>
      <w:bookmarkEnd w:id="408"/>
      <w:bookmarkStart w:id="409" w:name="_Toc181279803"/>
      <w:bookmarkEnd w:id="409"/>
      <w:bookmarkStart w:id="410" w:name="_Toc153285416"/>
      <w:bookmarkEnd w:id="410"/>
      <w:bookmarkStart w:id="411" w:name="_Toc153875091"/>
      <w:bookmarkEnd w:id="411"/>
      <w:bookmarkStart w:id="412" w:name="_Toc181285733"/>
      <w:bookmarkEnd w:id="412"/>
      <w:bookmarkStart w:id="413" w:name="_Toc153867466"/>
      <w:bookmarkEnd w:id="413"/>
      <w:bookmarkStart w:id="414" w:name="_Toc153315771"/>
      <w:bookmarkEnd w:id="414"/>
      <w:bookmarkStart w:id="415" w:name="_Toc153150895"/>
      <w:bookmarkEnd w:id="415"/>
      <w:bookmarkStart w:id="416" w:name="_Toc181279730"/>
      <w:bookmarkEnd w:id="416"/>
      <w:bookmarkStart w:id="417" w:name="_Toc151542152"/>
      <w:bookmarkEnd w:id="417"/>
      <w:bookmarkStart w:id="418" w:name="_Toc154405587"/>
      <w:bookmarkEnd w:id="418"/>
      <w:bookmarkStart w:id="419" w:name="_Toc153867465"/>
      <w:bookmarkEnd w:id="419"/>
      <w:bookmarkStart w:id="420" w:name="_Toc181285792"/>
      <w:bookmarkEnd w:id="420"/>
      <w:bookmarkStart w:id="421" w:name="_Toc146197301"/>
      <w:bookmarkEnd w:id="421"/>
      <w:bookmarkStart w:id="422" w:name="_Toc181279805"/>
      <w:bookmarkEnd w:id="422"/>
      <w:bookmarkStart w:id="423" w:name="_Toc146197303"/>
      <w:bookmarkEnd w:id="423"/>
      <w:bookmarkStart w:id="424" w:name="_Toc152900401"/>
      <w:bookmarkEnd w:id="424"/>
      <w:bookmarkStart w:id="425" w:name="_Toc153315767"/>
      <w:bookmarkEnd w:id="425"/>
      <w:bookmarkStart w:id="426" w:name="_Toc154405585"/>
      <w:bookmarkEnd w:id="426"/>
      <w:bookmarkStart w:id="427" w:name="_Toc153954143"/>
      <w:bookmarkEnd w:id="427"/>
      <w:bookmarkStart w:id="428" w:name="_Toc153954144"/>
      <w:bookmarkEnd w:id="428"/>
      <w:bookmarkStart w:id="429" w:name="_Toc151383714"/>
      <w:bookmarkEnd w:id="429"/>
      <w:bookmarkStart w:id="430" w:name="_Toc154405443"/>
      <w:bookmarkEnd w:id="430"/>
      <w:bookmarkStart w:id="431" w:name="_Toc154405590"/>
      <w:bookmarkEnd w:id="431"/>
      <w:bookmarkStart w:id="432" w:name="_Toc153875935"/>
      <w:bookmarkEnd w:id="432"/>
      <w:bookmarkStart w:id="433" w:name="_Toc153315768"/>
      <w:bookmarkEnd w:id="433"/>
      <w:bookmarkStart w:id="434" w:name="_Toc151383715"/>
      <w:bookmarkEnd w:id="434"/>
      <w:bookmarkStart w:id="435" w:name="_Toc153874962"/>
      <w:bookmarkEnd w:id="435"/>
      <w:bookmarkStart w:id="436" w:name="_Toc152896796"/>
      <w:bookmarkEnd w:id="436"/>
      <w:bookmarkStart w:id="437" w:name="_Toc153150892"/>
      <w:bookmarkEnd w:id="437"/>
      <w:bookmarkStart w:id="438" w:name="_Toc153867602"/>
      <w:bookmarkEnd w:id="438"/>
      <w:bookmarkStart w:id="439" w:name="_Toc153150894"/>
      <w:bookmarkEnd w:id="439"/>
      <w:bookmarkStart w:id="440" w:name="_Toc153954141"/>
      <w:bookmarkEnd w:id="440"/>
      <w:bookmarkStart w:id="441" w:name="_Toc181285795"/>
      <w:bookmarkEnd w:id="441"/>
      <w:bookmarkStart w:id="442" w:name="_Toc146197306"/>
      <w:bookmarkEnd w:id="442"/>
      <w:bookmarkStart w:id="443" w:name="_Toc154481250"/>
      <w:bookmarkEnd w:id="443"/>
      <w:bookmarkStart w:id="444" w:name="_Toc177553329"/>
      <w:bookmarkEnd w:id="444"/>
      <w:bookmarkStart w:id="445" w:name="_Toc181285732"/>
      <w:bookmarkEnd w:id="445"/>
      <w:bookmarkStart w:id="446" w:name="_Toc153315772"/>
      <w:bookmarkEnd w:id="446"/>
      <w:bookmarkStart w:id="447" w:name="_Toc152896797"/>
      <w:bookmarkEnd w:id="447"/>
      <w:bookmarkStart w:id="448" w:name="_Toc154481247"/>
      <w:bookmarkEnd w:id="448"/>
      <w:bookmarkStart w:id="449" w:name="_Toc153285268"/>
      <w:bookmarkEnd w:id="449"/>
      <w:bookmarkStart w:id="450" w:name="_Toc152896882"/>
      <w:bookmarkEnd w:id="450"/>
      <w:bookmarkStart w:id="451" w:name="_Toc153150897"/>
      <w:bookmarkEnd w:id="451"/>
      <w:bookmarkStart w:id="452" w:name="_Toc154481252"/>
      <w:bookmarkEnd w:id="452"/>
      <w:bookmarkStart w:id="453" w:name="_Toc153285270"/>
      <w:bookmarkEnd w:id="453"/>
      <w:bookmarkStart w:id="454" w:name="_Toc154481246"/>
      <w:bookmarkEnd w:id="454"/>
      <w:bookmarkStart w:id="455" w:name="_Toc181279802"/>
      <w:bookmarkEnd w:id="455"/>
      <w:bookmarkStart w:id="456" w:name="_Toc152896886"/>
      <w:bookmarkEnd w:id="456"/>
      <w:bookmarkStart w:id="457" w:name="_Toc153867598"/>
      <w:bookmarkEnd w:id="457"/>
      <w:bookmarkStart w:id="458" w:name="_Toc177553330"/>
      <w:bookmarkEnd w:id="458"/>
      <w:bookmarkStart w:id="459" w:name="_Toc153875096"/>
      <w:bookmarkEnd w:id="459"/>
      <w:bookmarkStart w:id="460" w:name="_Toc154405586"/>
      <w:bookmarkEnd w:id="460"/>
      <w:bookmarkStart w:id="461" w:name="_Toc151383713"/>
      <w:bookmarkEnd w:id="461"/>
      <w:bookmarkStart w:id="462" w:name="_Toc177553328"/>
      <w:bookmarkEnd w:id="462"/>
      <w:bookmarkStart w:id="463" w:name="_Toc153875940"/>
      <w:bookmarkEnd w:id="463"/>
      <w:bookmarkStart w:id="464" w:name="_Toc181285794"/>
      <w:bookmarkEnd w:id="464"/>
      <w:bookmarkStart w:id="465" w:name="_Toc152899702"/>
      <w:bookmarkEnd w:id="465"/>
      <w:bookmarkStart w:id="466" w:name="_Toc146197305"/>
      <w:bookmarkEnd w:id="466"/>
      <w:bookmarkStart w:id="467" w:name="_Toc153151262"/>
      <w:bookmarkEnd w:id="467"/>
      <w:bookmarkStart w:id="468" w:name="_Toc153867604"/>
      <w:bookmarkEnd w:id="468"/>
      <w:bookmarkStart w:id="469" w:name="_Toc181279948"/>
      <w:bookmarkEnd w:id="469"/>
      <w:bookmarkStart w:id="470" w:name="_Toc151383788"/>
      <w:bookmarkEnd w:id="470"/>
      <w:bookmarkStart w:id="471" w:name="_Toc153285412"/>
      <w:bookmarkEnd w:id="471"/>
      <w:bookmarkStart w:id="472" w:name="_Toc153867469"/>
      <w:bookmarkEnd w:id="472"/>
      <w:bookmarkStart w:id="473" w:name="_Toc19067"/>
      <w:bookmarkStart w:id="474" w:name="_Toc18843"/>
      <w:bookmarkStart w:id="475" w:name="_Toc17902"/>
      <w:bookmarkStart w:id="476" w:name="_Toc24945"/>
      <w:r>
        <w:rPr>
          <w:rFonts w:hint="default" w:ascii="Times New Roman" w:hAnsi="Times New Roman" w:cs="Times New Roman"/>
          <w:highlight w:val="none"/>
        </w:rPr>
        <w:t>附则</w:t>
      </w:r>
      <w:bookmarkEnd w:id="473"/>
      <w:bookmarkEnd w:id="474"/>
      <w:bookmarkEnd w:id="475"/>
      <w:bookmarkEnd w:id="476"/>
    </w:p>
    <w:p w14:paraId="23BB6514">
      <w:pPr>
        <w:pStyle w:val="4"/>
        <w:shd w:val="clear"/>
        <w:rPr>
          <w:rFonts w:hint="default" w:ascii="Times New Roman" w:hAnsi="Times New Roman" w:cs="Times New Roman"/>
          <w:highlight w:val="none"/>
        </w:rPr>
      </w:pPr>
      <w:bookmarkStart w:id="477" w:name="_Toc181279810"/>
      <w:bookmarkEnd w:id="477"/>
      <w:bookmarkStart w:id="478" w:name="_Toc181279954"/>
      <w:bookmarkEnd w:id="478"/>
      <w:bookmarkStart w:id="479" w:name="_Toc181279879"/>
      <w:bookmarkEnd w:id="479"/>
      <w:bookmarkStart w:id="480" w:name="_Toc181279736"/>
      <w:bookmarkEnd w:id="480"/>
      <w:bookmarkStart w:id="481" w:name="_Toc181285736"/>
      <w:bookmarkEnd w:id="481"/>
      <w:bookmarkStart w:id="482" w:name="_Toc181285800"/>
      <w:bookmarkEnd w:id="482"/>
      <w:bookmarkStart w:id="483" w:name="_Toc29127"/>
      <w:bookmarkStart w:id="484" w:name="_Toc3583"/>
      <w:bookmarkStart w:id="485" w:name="_Toc19846"/>
      <w:bookmarkStart w:id="486" w:name="_Toc9029"/>
      <w:r>
        <w:rPr>
          <w:rFonts w:hint="default" w:ascii="Times New Roman" w:hAnsi="Times New Roman" w:cs="Times New Roman"/>
          <w:highlight w:val="none"/>
        </w:rPr>
        <w:t>术语解释</w:t>
      </w:r>
      <w:bookmarkEnd w:id="483"/>
      <w:bookmarkEnd w:id="484"/>
      <w:bookmarkEnd w:id="485"/>
      <w:bookmarkEnd w:id="486"/>
    </w:p>
    <w:p w14:paraId="38F5A15C">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突发环境事件，是指由于污染物排放或者自然灾害、生产安全事故等因素，导致污染物或者放射性物质等有毒有害物质进入大气、水体、土壤等环境介质，突然造成或者可能造成环境质量下降，危及公众身体健康和财产安全，或者造成生态环境破坏，或者造成重大社会影响，需要采取紧急措施予以应对的事件。</w:t>
      </w:r>
    </w:p>
    <w:p w14:paraId="5E470B4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环境应急，是指为避免突发环境事件的发生或减轻突发环境事件的后果，所进行的预防与应急准备、监测与预警、应急处置与救援、事后恢复与重建等应对行动。</w:t>
      </w:r>
    </w:p>
    <w:p w14:paraId="344E10F9">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先期处置，是指突发环境事件发生后在事发地第一时间内所采取的紧急措施。</w:t>
      </w:r>
    </w:p>
    <w:p w14:paraId="1047B265">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后期处置，是指突发环境事件的危害和影响得到基本控制后，为使生产、工作、生活、社会秩序和生态环境恢复正常状态在事件后期所采取的一系列行动。</w:t>
      </w:r>
    </w:p>
    <w:p w14:paraId="7798077C">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直接经济损失，包括环境污染行为直接造成的财产损毁、减少的账面价值，以及为防止污染扩大以及消除污染而采取的必要的、合理的措施而发生的费用。</w:t>
      </w:r>
    </w:p>
    <w:p w14:paraId="7C7581B5">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环境应急监测，是指环境应急情况下，为发现和查明环境污染情况和污染范围而进行的环境监测。包括定点监测和动态监测。</w:t>
      </w:r>
    </w:p>
    <w:p w14:paraId="74D87FF2">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应急演练，是指为检验应急预案的有效性、应急准备的完善性、应急响应能力的适应性和应急人员的协同性而进行的一种模拟应急响应的实践活动。根据所涉及的内容和范围的不同，可分为单项演练和综合演练。</w:t>
      </w:r>
    </w:p>
    <w:p w14:paraId="34A229D0">
      <w:pPr>
        <w:widowControl/>
        <w:shd w:val="clear"/>
        <w:ind w:firstLine="562"/>
        <w:rPr>
          <w:rFonts w:hint="default" w:ascii="Times New Roman" w:hAnsi="Times New Roman" w:eastAsia="仿宋" w:cs="Times New Roman"/>
          <w:b/>
          <w:bCs/>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b/>
          <w:bCs/>
          <w:color w:val="000000" w:themeColor="text1"/>
          <w:szCs w:val="28"/>
          <w:highlight w:val="none"/>
          <w:lang w:eastAsia="zh-CN" w:bidi="ar"/>
          <w14:textFill>
            <w14:solidFill>
              <w14:schemeClr w14:val="tx1"/>
            </w14:solidFill>
          </w14:textFill>
        </w:rPr>
        <w:t>本预案中对数量的表达，所称“以上”含本数，“以下”不含本数。</w:t>
      </w:r>
    </w:p>
    <w:p w14:paraId="165D70A5">
      <w:pPr>
        <w:pStyle w:val="4"/>
        <w:shd w:val="clear"/>
        <w:rPr>
          <w:rFonts w:hint="default" w:ascii="Times New Roman" w:hAnsi="Times New Roman" w:cs="Times New Roman"/>
          <w:highlight w:val="none"/>
        </w:rPr>
      </w:pPr>
      <w:bookmarkStart w:id="487" w:name="_Toc3317"/>
      <w:bookmarkStart w:id="488" w:name="_Toc18597"/>
      <w:bookmarkStart w:id="489" w:name="_Toc12538"/>
      <w:bookmarkStart w:id="490" w:name="_Toc16366"/>
      <w:r>
        <w:rPr>
          <w:rFonts w:hint="default" w:ascii="Times New Roman" w:hAnsi="Times New Roman" w:cs="Times New Roman"/>
          <w:highlight w:val="none"/>
        </w:rPr>
        <w:t>预案</w:t>
      </w:r>
      <w:bookmarkEnd w:id="487"/>
      <w:bookmarkEnd w:id="488"/>
      <w:r>
        <w:rPr>
          <w:rFonts w:hint="default" w:ascii="Times New Roman" w:hAnsi="Times New Roman" w:cs="Times New Roman"/>
          <w:highlight w:val="none"/>
        </w:rPr>
        <w:t>修订</w:t>
      </w:r>
      <w:bookmarkEnd w:id="489"/>
      <w:bookmarkEnd w:id="490"/>
    </w:p>
    <w:p w14:paraId="1ED5137D">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有下列情形之一的，应当及时修订应急预案：</w:t>
      </w:r>
    </w:p>
    <w:p w14:paraId="00572375">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（1）有关法律、行政法规、规章、标准、上位预案中的有关规定发生变化的；</w:t>
      </w:r>
    </w:p>
    <w:p w14:paraId="0B28957E">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（2）应急指挥机构及其职责发生重大调整的；</w:t>
      </w:r>
    </w:p>
    <w:p w14:paraId="67504B9A">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（3）面临的风险发生重大变化的；</w:t>
      </w:r>
    </w:p>
    <w:p w14:paraId="244868A8">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（4）重要应急资源发生重大变化的；</w:t>
      </w:r>
    </w:p>
    <w:p w14:paraId="513B6158">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（5）预案中的其他重要信息发生变化的；</w:t>
      </w:r>
    </w:p>
    <w:p w14:paraId="20F15A70">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（6）在突发事件实际应对和应急演练中发现问题需要作出重大调整的；</w:t>
      </w:r>
    </w:p>
    <w:p w14:paraId="3ED5DE8B">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（7）应急预案制定单位认为应当修订的其他情况。</w:t>
      </w:r>
    </w:p>
    <w:p w14:paraId="18D9FDEB">
      <w:pPr>
        <w:pStyle w:val="4"/>
        <w:shd w:val="clear"/>
        <w:rPr>
          <w:rFonts w:hint="default" w:ascii="Times New Roman" w:hAnsi="Times New Roman" w:cs="Times New Roman"/>
          <w:highlight w:val="none"/>
        </w:rPr>
      </w:pPr>
      <w:bookmarkStart w:id="491" w:name="_Toc10688"/>
      <w:bookmarkStart w:id="492" w:name="_Toc20909"/>
      <w:bookmarkStart w:id="493" w:name="_Toc31095"/>
      <w:bookmarkStart w:id="494" w:name="_Toc1338"/>
      <w:r>
        <w:rPr>
          <w:rFonts w:hint="default" w:ascii="Times New Roman" w:hAnsi="Times New Roman" w:cs="Times New Roman"/>
          <w:highlight w:val="none"/>
        </w:rPr>
        <w:t>预案解释部门</w:t>
      </w:r>
      <w:bookmarkEnd w:id="491"/>
      <w:bookmarkEnd w:id="492"/>
      <w:bookmarkEnd w:id="493"/>
      <w:bookmarkEnd w:id="494"/>
    </w:p>
    <w:p w14:paraId="7BF4B6FC">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本预案由区管委会组织修订，由区生态环境分局负责解释。</w:t>
      </w:r>
    </w:p>
    <w:p w14:paraId="3031C098">
      <w:pPr>
        <w:pStyle w:val="4"/>
        <w:shd w:val="clear"/>
        <w:rPr>
          <w:rFonts w:hint="default" w:ascii="Times New Roman" w:hAnsi="Times New Roman" w:cs="Times New Roman"/>
          <w:highlight w:val="none"/>
        </w:rPr>
      </w:pPr>
      <w:bookmarkStart w:id="495" w:name="_Toc18847"/>
      <w:bookmarkStart w:id="496" w:name="_Toc21900"/>
      <w:bookmarkStart w:id="497" w:name="_Toc10604"/>
      <w:bookmarkStart w:id="498" w:name="_Toc13976"/>
      <w:r>
        <w:rPr>
          <w:rFonts w:hint="default" w:ascii="Times New Roman" w:hAnsi="Times New Roman" w:cs="Times New Roman"/>
          <w:highlight w:val="none"/>
        </w:rPr>
        <w:t>预案实施时间</w:t>
      </w:r>
      <w:bookmarkEnd w:id="495"/>
      <w:bookmarkEnd w:id="496"/>
      <w:bookmarkEnd w:id="497"/>
      <w:bookmarkEnd w:id="498"/>
    </w:p>
    <w:p w14:paraId="7820FC3E">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本预案自印发之日起实施。《大亚湾经济技术开发区突发环境事件应急预案》（惠湾管办〔2020〕6号）同时废止。</w:t>
      </w:r>
      <w:bookmarkStart w:id="499" w:name="_Toc28117"/>
      <w:bookmarkStart w:id="500" w:name="_Toc13925"/>
    </w:p>
    <w:p w14:paraId="7A8A08FF">
      <w:pP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br w:type="page"/>
      </w:r>
    </w:p>
    <w:p w14:paraId="4798FD17">
      <w:pPr>
        <w:pStyle w:val="2"/>
        <w:rPr>
          <w:rFonts w:hint="default"/>
          <w:lang w:eastAsia="zh-CN"/>
        </w:rPr>
        <w:sectPr>
          <w:footerReference r:id="rId13" w:type="default"/>
          <w:pgSz w:w="11906" w:h="16838"/>
          <w:pgMar w:top="1134" w:right="1417" w:bottom="1134" w:left="1701" w:header="680" w:footer="680" w:gutter="0"/>
          <w:pgNumType w:start="1"/>
          <w:cols w:space="425" w:num="1"/>
          <w:docGrid w:type="lines" w:linePitch="381" w:charSpace="0"/>
        </w:sectPr>
      </w:pPr>
    </w:p>
    <w:bookmarkEnd w:id="499"/>
    <w:bookmarkEnd w:id="500"/>
    <w:p w14:paraId="2BB4E0A4">
      <w:pPr>
        <w:keepNext w:val="0"/>
        <w:keepLines w:val="0"/>
        <w:pageBreakBefore w:val="0"/>
        <w:widowControl w:val="0"/>
        <w:shd w:val="clear"/>
        <w:kinsoku/>
        <w:wordWrap/>
        <w:overflowPunct/>
        <w:topLinePunct w:val="0"/>
        <w:autoSpaceDE w:val="0"/>
        <w:autoSpaceDN w:val="0"/>
        <w:bidi w:val="0"/>
        <w:adjustRightInd/>
        <w:snapToGrid/>
        <w:spacing w:line="360" w:lineRule="auto"/>
        <w:ind w:left="0" w:leftChars="0" w:firstLine="0" w:firstLineChars="0"/>
        <w:jc w:val="both"/>
        <w:textAlignment w:val="auto"/>
        <w:rPr>
          <w:rFonts w:hint="default" w:ascii="Times New Roman" w:hAnsi="Times New Roman" w:cs="Times New Roman"/>
          <w:color w:val="auto"/>
          <w:highlight w:val="none"/>
        </w:rPr>
      </w:pPr>
    </w:p>
    <w:sectPr>
      <w:headerReference r:id="rId14" w:type="default"/>
      <w:footerReference r:id="rId15" w:type="default"/>
      <w:pgSz w:w="11906" w:h="16838"/>
      <w:pgMar w:top="1134" w:right="1417" w:bottom="1134" w:left="1701" w:header="907" w:footer="1077" w:gutter="0"/>
      <w:cols w:space="0" w:num="1"/>
      <w:rtlGutter w:val="0"/>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等线 Light">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华文中宋"/>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1FF" w:csb1="FFFF0000"/>
  </w:font>
  <w:font w:name="MathJax_Vector">
    <w:panose1 w:val="02000603000000000000"/>
    <w:charset w:val="00"/>
    <w:family w:val="auto"/>
    <w:pitch w:val="default"/>
    <w:sig w:usb0="00000001" w:usb1="00000020" w:usb2="00000000" w:usb3="00000000" w:csb0="00000001" w:csb1="00000000"/>
  </w:font>
  <w:font w:name="等线">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D9AEA">
    <w:pPr>
      <w:pStyle w:val="20"/>
      <w:ind w:firstLine="360"/>
      <w:jc w:val="center"/>
      <w:rPr>
        <w:rFonts w:hint="eastAsia"/>
      </w:rPr>
    </w:pPr>
  </w:p>
  <w:p w14:paraId="28B9A0E5">
    <w:pPr>
      <w:pStyle w:val="20"/>
      <w:ind w:firstLine="0" w:firstLineChars="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43943">
    <w:pPr>
      <w:pStyle w:val="20"/>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E0B99">
    <w:pPr>
      <w:pStyle w:val="20"/>
      <w:ind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6598226"/>
    </w:sdtPr>
    <w:sdtContent>
      <w:p w14:paraId="69804033">
        <w:pPr>
          <w:pStyle w:val="20"/>
          <w:ind w:firstLine="360"/>
          <w:jc w:val="center"/>
          <w:rPr>
            <w:rFonts w:hint="eastAsia"/>
          </w:rPr>
        </w:pPr>
        <w:r>
          <w:fldChar w:fldCharType="begin"/>
        </w:r>
        <w:r>
          <w:instrText xml:space="preserve">PAGE   \* MERGEFORMAT</w:instrText>
        </w:r>
        <w:r>
          <w:fldChar w:fldCharType="separate"/>
        </w:r>
        <w:r>
          <w:rPr>
            <w:lang w:val="zh-CN" w:eastAsia="zh-CN"/>
          </w:rPr>
          <w:t>III</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997178"/>
    </w:sdtPr>
    <w:sdtEndPr>
      <w:rPr>
        <w:rFonts w:ascii="Times New Roman" w:hAnsi="Times New Roman" w:cs="Times New Roman"/>
      </w:rPr>
    </w:sdtEndPr>
    <w:sdtContent>
      <w:p w14:paraId="4001F618">
        <w:pPr>
          <w:pStyle w:val="20"/>
          <w:ind w:firstLine="36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eastAsia="zh-CN"/>
          </w:rPr>
          <w:t>1</w:t>
        </w:r>
        <w:r>
          <w:rPr>
            <w:rFonts w:ascii="Times New Roman" w:hAnsi="Times New Roman" w:cs="Times New Roman"/>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2891"/>
    </w:sdtPr>
    <w:sdtEndPr>
      <w:rPr>
        <w:rFonts w:ascii="Times New Roman" w:hAnsi="Times New Roman" w:cs="Times New Roman"/>
      </w:rPr>
    </w:sdtEndPr>
    <w:sdtContent>
      <w:p w14:paraId="4415D9B5">
        <w:pPr>
          <w:pStyle w:val="20"/>
          <w:ind w:firstLine="36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eastAsia="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693B8">
    <w:pPr>
      <w:ind w:firstLineChars="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BA072">
    <w:pPr>
      <w:pStyle w:val="21"/>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456F8">
    <w:pPr>
      <w:pStyle w:val="21"/>
      <w:ind w:firstLine="36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27F5D">
    <w:pPr>
      <w:pStyle w:val="21"/>
      <w:pBdr>
        <w:bottom w:val="single" w:color="auto" w:sz="6" w:space="2"/>
      </w:pBdr>
      <w:ind w:firstLine="0" w:firstLineChars="0"/>
      <w:rPr>
        <w:rFonts w:hint="eastAsia"/>
        <w:sz w:val="21"/>
        <w:szCs w:val="21"/>
        <w:lang w:eastAsia="zh-CN"/>
      </w:rPr>
    </w:pPr>
    <w:r>
      <w:rPr>
        <w:rFonts w:hint="eastAsia"/>
        <w:sz w:val="21"/>
        <w:szCs w:val="21"/>
        <w:lang w:eastAsia="zh-CN"/>
      </w:rPr>
      <w:t>惠州大亚湾经济技术开发区</w:t>
    </w:r>
    <w:bookmarkStart w:id="501" w:name="OLE_LINK7"/>
    <w:r>
      <w:rPr>
        <w:rFonts w:hint="eastAsia"/>
        <w:sz w:val="21"/>
        <w:szCs w:val="21"/>
        <w:lang w:eastAsia="zh-CN"/>
      </w:rPr>
      <w:t>突发</w:t>
    </w:r>
    <w:bookmarkEnd w:id="501"/>
    <w:r>
      <w:rPr>
        <w:rFonts w:hint="eastAsia"/>
        <w:sz w:val="21"/>
        <w:szCs w:val="21"/>
        <w:lang w:eastAsia="zh-CN"/>
      </w:rPr>
      <w:t>环境事件应急预案</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DB531">
    <w:pPr>
      <w:pStyle w:val="21"/>
      <w:pBdr>
        <w:bottom w:val="single" w:color="auto" w:sz="6" w:space="14"/>
      </w:pBdr>
      <w:ind w:firstLine="0" w:firstLineChars="0"/>
      <w:rPr>
        <w:rFonts w:hint="eastAsia"/>
        <w:sz w:val="21"/>
        <w:szCs w:val="21"/>
        <w:lang w:eastAsia="zh-CN"/>
      </w:rPr>
    </w:pPr>
    <w:r>
      <w:rPr>
        <w:rFonts w:hint="eastAsia"/>
        <w:sz w:val="21"/>
        <w:szCs w:val="21"/>
        <w:lang w:eastAsia="zh-CN"/>
      </w:rPr>
      <w:t>惠州大亚湾经济技术开发区突发环境事件应急预案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3C526E"/>
    <w:multiLevelType w:val="multilevel"/>
    <w:tmpl w:val="793C526E"/>
    <w:lvl w:ilvl="0" w:tentative="0">
      <w:start w:val="1"/>
      <w:numFmt w:val="decimal"/>
      <w:pStyle w:val="3"/>
      <w:lvlText w:val="%1"/>
      <w:lvlJc w:val="left"/>
      <w:pPr>
        <w:ind w:left="432" w:hanging="432"/>
      </w:pPr>
    </w:lvl>
    <w:lvl w:ilvl="1" w:tentative="0">
      <w:start w:val="1"/>
      <w:numFmt w:val="decimal"/>
      <w:pStyle w:val="4"/>
      <w:lvlText w:val="%1.%2"/>
      <w:lvlJc w:val="left"/>
      <w:pPr>
        <w:ind w:left="576" w:hanging="576"/>
      </w:pPr>
      <w:rPr>
        <w:rFonts w:hint="default" w:ascii="Times New Roman" w:hAnsi="Times New Roman" w:cs="Times New Roman"/>
      </w:rPr>
    </w:lvl>
    <w:lvl w:ilvl="2" w:tentative="0">
      <w:start w:val="1"/>
      <w:numFmt w:val="decimal"/>
      <w:pStyle w:val="5"/>
      <w:lvlText w:val="%1.%2.%3"/>
      <w:lvlJc w:val="left"/>
      <w:pPr>
        <w:ind w:left="720" w:hanging="720"/>
      </w:pPr>
    </w:lvl>
    <w:lvl w:ilvl="3" w:tentative="0">
      <w:start w:val="1"/>
      <w:numFmt w:val="decimal"/>
      <w:pStyle w:val="6"/>
      <w:lvlText w:val="%1.%2.%3.%4"/>
      <w:lvlJc w:val="left"/>
      <w:pPr>
        <w:ind w:left="864" w:hanging="864"/>
      </w:pPr>
    </w:lvl>
    <w:lvl w:ilvl="4" w:tentative="0">
      <w:start w:val="1"/>
      <w:numFmt w:val="decimal"/>
      <w:pStyle w:val="7"/>
      <w:lvlText w:val="%1.%2.%3.%4.%5"/>
      <w:lvlJc w:val="left"/>
      <w:pPr>
        <w:ind w:left="1008" w:hanging="1008"/>
      </w:pPr>
    </w:lvl>
    <w:lvl w:ilvl="5" w:tentative="0">
      <w:start w:val="1"/>
      <w:numFmt w:val="decimal"/>
      <w:pStyle w:val="8"/>
      <w:lvlText w:val="%1.%2.%3.%4.%5.%6"/>
      <w:lvlJc w:val="left"/>
      <w:pPr>
        <w:ind w:left="1152" w:hanging="1152"/>
      </w:pPr>
    </w:lvl>
    <w:lvl w:ilvl="6" w:tentative="0">
      <w:start w:val="1"/>
      <w:numFmt w:val="decimal"/>
      <w:pStyle w:val="9"/>
      <w:lvlText w:val="%1.%2.%3.%4.%5.%6.%7"/>
      <w:lvlJc w:val="left"/>
      <w:pPr>
        <w:ind w:left="1296" w:hanging="1296"/>
      </w:pPr>
    </w:lvl>
    <w:lvl w:ilvl="7" w:tentative="0">
      <w:start w:val="1"/>
      <w:numFmt w:val="decimal"/>
      <w:pStyle w:val="10"/>
      <w:lvlText w:val="%1.%2.%3.%4.%5.%6.%7.%8"/>
      <w:lvlJc w:val="left"/>
      <w:pPr>
        <w:ind w:left="1440" w:hanging="1440"/>
      </w:pPr>
    </w:lvl>
    <w:lvl w:ilvl="8" w:tentative="0">
      <w:start w:val="1"/>
      <w:numFmt w:val="decimal"/>
      <w:pStyle w:val="11"/>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bordersDoNotSurroundHeader w:val="0"/>
  <w:bordersDoNotSurroundFooter w:val="0"/>
  <w:documentProtection w:edit="readOnly" w:enforcement="0"/>
  <w:defaultTabStop w:val="420"/>
  <w:drawingGridHorizontalSpacing w:val="140"/>
  <w:drawingGridVerticalSpacing w:val="192"/>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wYjYyMjk0MTBkN2U5NzZkYjJhNDM0NjcxZjA0YzUifQ=="/>
    <w:docVar w:name="KGWebUrl" w:val="http://192.16.9.224:4413/seeyon/officeservlet"/>
  </w:docVars>
  <w:rsids>
    <w:rsidRoot w:val="00F74231"/>
    <w:rsid w:val="0000013F"/>
    <w:rsid w:val="0000154C"/>
    <w:rsid w:val="00001FC0"/>
    <w:rsid w:val="00005E2A"/>
    <w:rsid w:val="000065B7"/>
    <w:rsid w:val="0000689C"/>
    <w:rsid w:val="00007656"/>
    <w:rsid w:val="000100A6"/>
    <w:rsid w:val="00010908"/>
    <w:rsid w:val="00011136"/>
    <w:rsid w:val="00011B23"/>
    <w:rsid w:val="00012938"/>
    <w:rsid w:val="000171AF"/>
    <w:rsid w:val="00017F8E"/>
    <w:rsid w:val="00022537"/>
    <w:rsid w:val="00022949"/>
    <w:rsid w:val="0002374C"/>
    <w:rsid w:val="00025321"/>
    <w:rsid w:val="000259A1"/>
    <w:rsid w:val="00025BBF"/>
    <w:rsid w:val="00025C7D"/>
    <w:rsid w:val="000261FA"/>
    <w:rsid w:val="0002791F"/>
    <w:rsid w:val="00032319"/>
    <w:rsid w:val="00033CDB"/>
    <w:rsid w:val="00033D21"/>
    <w:rsid w:val="00034250"/>
    <w:rsid w:val="00034DF4"/>
    <w:rsid w:val="000358DF"/>
    <w:rsid w:val="000359B7"/>
    <w:rsid w:val="00035A69"/>
    <w:rsid w:val="00036AE9"/>
    <w:rsid w:val="00037B58"/>
    <w:rsid w:val="0004014C"/>
    <w:rsid w:val="0004059B"/>
    <w:rsid w:val="00040BB9"/>
    <w:rsid w:val="00041669"/>
    <w:rsid w:val="00042AA7"/>
    <w:rsid w:val="00042E3E"/>
    <w:rsid w:val="00045F7A"/>
    <w:rsid w:val="00046C0D"/>
    <w:rsid w:val="00046F6C"/>
    <w:rsid w:val="0004794A"/>
    <w:rsid w:val="000508FA"/>
    <w:rsid w:val="0005119B"/>
    <w:rsid w:val="000514E5"/>
    <w:rsid w:val="0005155E"/>
    <w:rsid w:val="000552D9"/>
    <w:rsid w:val="00057B31"/>
    <w:rsid w:val="000637B4"/>
    <w:rsid w:val="00064621"/>
    <w:rsid w:val="0006589B"/>
    <w:rsid w:val="00067EF0"/>
    <w:rsid w:val="00070305"/>
    <w:rsid w:val="00072B07"/>
    <w:rsid w:val="00074F65"/>
    <w:rsid w:val="00076606"/>
    <w:rsid w:val="0007713A"/>
    <w:rsid w:val="0007737D"/>
    <w:rsid w:val="000773DD"/>
    <w:rsid w:val="00077D5C"/>
    <w:rsid w:val="00081112"/>
    <w:rsid w:val="000824B0"/>
    <w:rsid w:val="000825D7"/>
    <w:rsid w:val="00083188"/>
    <w:rsid w:val="00086661"/>
    <w:rsid w:val="000867E4"/>
    <w:rsid w:val="00086DD0"/>
    <w:rsid w:val="00091458"/>
    <w:rsid w:val="00092206"/>
    <w:rsid w:val="000925D8"/>
    <w:rsid w:val="00092C6E"/>
    <w:rsid w:val="00094A0F"/>
    <w:rsid w:val="00094C17"/>
    <w:rsid w:val="00095589"/>
    <w:rsid w:val="00095A4E"/>
    <w:rsid w:val="00095E19"/>
    <w:rsid w:val="000A0404"/>
    <w:rsid w:val="000A051D"/>
    <w:rsid w:val="000A17C2"/>
    <w:rsid w:val="000A2CDA"/>
    <w:rsid w:val="000A39B2"/>
    <w:rsid w:val="000A4815"/>
    <w:rsid w:val="000A77F1"/>
    <w:rsid w:val="000B0718"/>
    <w:rsid w:val="000B238A"/>
    <w:rsid w:val="000B2872"/>
    <w:rsid w:val="000B5395"/>
    <w:rsid w:val="000B787C"/>
    <w:rsid w:val="000B7C3D"/>
    <w:rsid w:val="000C0589"/>
    <w:rsid w:val="000C2B7D"/>
    <w:rsid w:val="000C5499"/>
    <w:rsid w:val="000C5E05"/>
    <w:rsid w:val="000C5EE7"/>
    <w:rsid w:val="000C6253"/>
    <w:rsid w:val="000C7CA7"/>
    <w:rsid w:val="000C7FEC"/>
    <w:rsid w:val="000D0FBB"/>
    <w:rsid w:val="000D1A2C"/>
    <w:rsid w:val="000D24E2"/>
    <w:rsid w:val="000D2834"/>
    <w:rsid w:val="000D4370"/>
    <w:rsid w:val="000D4A82"/>
    <w:rsid w:val="000D4AF2"/>
    <w:rsid w:val="000D576B"/>
    <w:rsid w:val="000D5B27"/>
    <w:rsid w:val="000D7B5C"/>
    <w:rsid w:val="000E0319"/>
    <w:rsid w:val="000E15DB"/>
    <w:rsid w:val="000E50DC"/>
    <w:rsid w:val="000E527C"/>
    <w:rsid w:val="000E78E8"/>
    <w:rsid w:val="000F2851"/>
    <w:rsid w:val="000F2C67"/>
    <w:rsid w:val="000F4052"/>
    <w:rsid w:val="000F5008"/>
    <w:rsid w:val="000F6712"/>
    <w:rsid w:val="000F6982"/>
    <w:rsid w:val="000F72F0"/>
    <w:rsid w:val="000F751E"/>
    <w:rsid w:val="001003B8"/>
    <w:rsid w:val="0010068C"/>
    <w:rsid w:val="00101940"/>
    <w:rsid w:val="001028CB"/>
    <w:rsid w:val="001028D4"/>
    <w:rsid w:val="001035BB"/>
    <w:rsid w:val="00106364"/>
    <w:rsid w:val="00111DAE"/>
    <w:rsid w:val="00112A0B"/>
    <w:rsid w:val="001139F0"/>
    <w:rsid w:val="00115741"/>
    <w:rsid w:val="00115934"/>
    <w:rsid w:val="001159DD"/>
    <w:rsid w:val="0012374E"/>
    <w:rsid w:val="001242D1"/>
    <w:rsid w:val="00126959"/>
    <w:rsid w:val="00126A41"/>
    <w:rsid w:val="00126F20"/>
    <w:rsid w:val="00130459"/>
    <w:rsid w:val="00132967"/>
    <w:rsid w:val="00132E7E"/>
    <w:rsid w:val="0013458E"/>
    <w:rsid w:val="0013700B"/>
    <w:rsid w:val="00137D8A"/>
    <w:rsid w:val="001424F8"/>
    <w:rsid w:val="00144743"/>
    <w:rsid w:val="00144A74"/>
    <w:rsid w:val="001450C8"/>
    <w:rsid w:val="00146984"/>
    <w:rsid w:val="00150AEA"/>
    <w:rsid w:val="00151BA8"/>
    <w:rsid w:val="001521AB"/>
    <w:rsid w:val="001568E3"/>
    <w:rsid w:val="00157C12"/>
    <w:rsid w:val="00161999"/>
    <w:rsid w:val="00162E6C"/>
    <w:rsid w:val="00164BFE"/>
    <w:rsid w:val="00165406"/>
    <w:rsid w:val="00165789"/>
    <w:rsid w:val="00167F27"/>
    <w:rsid w:val="001703E8"/>
    <w:rsid w:val="00171549"/>
    <w:rsid w:val="0017336A"/>
    <w:rsid w:val="00174D5D"/>
    <w:rsid w:val="0018000F"/>
    <w:rsid w:val="00180915"/>
    <w:rsid w:val="00182204"/>
    <w:rsid w:val="001824EA"/>
    <w:rsid w:val="00183B21"/>
    <w:rsid w:val="00184E98"/>
    <w:rsid w:val="00185A82"/>
    <w:rsid w:val="00185D86"/>
    <w:rsid w:val="00187CA6"/>
    <w:rsid w:val="00192234"/>
    <w:rsid w:val="001923A0"/>
    <w:rsid w:val="001A09A9"/>
    <w:rsid w:val="001A28EB"/>
    <w:rsid w:val="001A29D6"/>
    <w:rsid w:val="001A3704"/>
    <w:rsid w:val="001A44E8"/>
    <w:rsid w:val="001A47F3"/>
    <w:rsid w:val="001A6198"/>
    <w:rsid w:val="001A70E0"/>
    <w:rsid w:val="001A7280"/>
    <w:rsid w:val="001B0671"/>
    <w:rsid w:val="001B08BF"/>
    <w:rsid w:val="001B1DED"/>
    <w:rsid w:val="001B6BAB"/>
    <w:rsid w:val="001B7265"/>
    <w:rsid w:val="001C27B0"/>
    <w:rsid w:val="001C4BA3"/>
    <w:rsid w:val="001C51D7"/>
    <w:rsid w:val="001C5E77"/>
    <w:rsid w:val="001C645C"/>
    <w:rsid w:val="001C7967"/>
    <w:rsid w:val="001D1D84"/>
    <w:rsid w:val="001D3451"/>
    <w:rsid w:val="001D43AD"/>
    <w:rsid w:val="001D4ABD"/>
    <w:rsid w:val="001D6EAB"/>
    <w:rsid w:val="001E0C84"/>
    <w:rsid w:val="001E1722"/>
    <w:rsid w:val="001E1F86"/>
    <w:rsid w:val="001E229C"/>
    <w:rsid w:val="001E3471"/>
    <w:rsid w:val="001E4DC8"/>
    <w:rsid w:val="001E78E1"/>
    <w:rsid w:val="001F1094"/>
    <w:rsid w:val="001F1E2C"/>
    <w:rsid w:val="001F3490"/>
    <w:rsid w:val="001F5B6B"/>
    <w:rsid w:val="001F5D4C"/>
    <w:rsid w:val="001F62FB"/>
    <w:rsid w:val="001F7BEB"/>
    <w:rsid w:val="002012F5"/>
    <w:rsid w:val="00203935"/>
    <w:rsid w:val="00204379"/>
    <w:rsid w:val="0020472B"/>
    <w:rsid w:val="00204A81"/>
    <w:rsid w:val="00205429"/>
    <w:rsid w:val="00212351"/>
    <w:rsid w:val="0021290E"/>
    <w:rsid w:val="00212E02"/>
    <w:rsid w:val="00212FD9"/>
    <w:rsid w:val="0021354A"/>
    <w:rsid w:val="002146BA"/>
    <w:rsid w:val="002151F5"/>
    <w:rsid w:val="00216C24"/>
    <w:rsid w:val="00217340"/>
    <w:rsid w:val="00217D3F"/>
    <w:rsid w:val="00220248"/>
    <w:rsid w:val="00220C35"/>
    <w:rsid w:val="00222832"/>
    <w:rsid w:val="00223D56"/>
    <w:rsid w:val="002252FB"/>
    <w:rsid w:val="002259B6"/>
    <w:rsid w:val="0022634D"/>
    <w:rsid w:val="002274FD"/>
    <w:rsid w:val="00232358"/>
    <w:rsid w:val="00232F87"/>
    <w:rsid w:val="002334D9"/>
    <w:rsid w:val="002350CC"/>
    <w:rsid w:val="00236D17"/>
    <w:rsid w:val="00236F91"/>
    <w:rsid w:val="002407DE"/>
    <w:rsid w:val="00241E7A"/>
    <w:rsid w:val="002421FD"/>
    <w:rsid w:val="0024252B"/>
    <w:rsid w:val="0024387C"/>
    <w:rsid w:val="002510BA"/>
    <w:rsid w:val="002513D2"/>
    <w:rsid w:val="0025168C"/>
    <w:rsid w:val="00251A71"/>
    <w:rsid w:val="002534D4"/>
    <w:rsid w:val="00253A99"/>
    <w:rsid w:val="00257FB9"/>
    <w:rsid w:val="00260204"/>
    <w:rsid w:val="00260DD9"/>
    <w:rsid w:val="0026646A"/>
    <w:rsid w:val="002672F9"/>
    <w:rsid w:val="00272CC8"/>
    <w:rsid w:val="0027384B"/>
    <w:rsid w:val="002750B4"/>
    <w:rsid w:val="00276700"/>
    <w:rsid w:val="002774DE"/>
    <w:rsid w:val="00277597"/>
    <w:rsid w:val="00277D92"/>
    <w:rsid w:val="00283156"/>
    <w:rsid w:val="00284DBC"/>
    <w:rsid w:val="002855DF"/>
    <w:rsid w:val="00287D36"/>
    <w:rsid w:val="002914C2"/>
    <w:rsid w:val="00293346"/>
    <w:rsid w:val="00295728"/>
    <w:rsid w:val="00295AC3"/>
    <w:rsid w:val="002A0130"/>
    <w:rsid w:val="002A31E0"/>
    <w:rsid w:val="002A3718"/>
    <w:rsid w:val="002A5ACA"/>
    <w:rsid w:val="002A751C"/>
    <w:rsid w:val="002B0844"/>
    <w:rsid w:val="002B0B4E"/>
    <w:rsid w:val="002B6F4B"/>
    <w:rsid w:val="002C13C0"/>
    <w:rsid w:val="002C2AF3"/>
    <w:rsid w:val="002C5724"/>
    <w:rsid w:val="002C78A7"/>
    <w:rsid w:val="002D19F5"/>
    <w:rsid w:val="002D1DC8"/>
    <w:rsid w:val="002D361C"/>
    <w:rsid w:val="002D4843"/>
    <w:rsid w:val="002D5644"/>
    <w:rsid w:val="002D57A0"/>
    <w:rsid w:val="002E1504"/>
    <w:rsid w:val="002E17F1"/>
    <w:rsid w:val="002E43F4"/>
    <w:rsid w:val="002E5CFA"/>
    <w:rsid w:val="002E6968"/>
    <w:rsid w:val="002F0A87"/>
    <w:rsid w:val="002F277C"/>
    <w:rsid w:val="002F2D07"/>
    <w:rsid w:val="002F2FFC"/>
    <w:rsid w:val="002F30ED"/>
    <w:rsid w:val="002F429D"/>
    <w:rsid w:val="002F4E6F"/>
    <w:rsid w:val="003003D7"/>
    <w:rsid w:val="00300B72"/>
    <w:rsid w:val="00303FD6"/>
    <w:rsid w:val="00304C56"/>
    <w:rsid w:val="00305267"/>
    <w:rsid w:val="00307E9C"/>
    <w:rsid w:val="00310030"/>
    <w:rsid w:val="00312ADB"/>
    <w:rsid w:val="0031317B"/>
    <w:rsid w:val="0031536C"/>
    <w:rsid w:val="003156A2"/>
    <w:rsid w:val="00316A34"/>
    <w:rsid w:val="0031715E"/>
    <w:rsid w:val="003207AF"/>
    <w:rsid w:val="00321339"/>
    <w:rsid w:val="0032259C"/>
    <w:rsid w:val="00322CD0"/>
    <w:rsid w:val="00322F63"/>
    <w:rsid w:val="00324F17"/>
    <w:rsid w:val="00325591"/>
    <w:rsid w:val="003269FB"/>
    <w:rsid w:val="00333245"/>
    <w:rsid w:val="0033430B"/>
    <w:rsid w:val="00336AEA"/>
    <w:rsid w:val="00340242"/>
    <w:rsid w:val="00340BBA"/>
    <w:rsid w:val="00341E75"/>
    <w:rsid w:val="00342DAE"/>
    <w:rsid w:val="003437E6"/>
    <w:rsid w:val="0034733D"/>
    <w:rsid w:val="003507D9"/>
    <w:rsid w:val="00351493"/>
    <w:rsid w:val="00352731"/>
    <w:rsid w:val="003528C2"/>
    <w:rsid w:val="0035470F"/>
    <w:rsid w:val="00355E07"/>
    <w:rsid w:val="00361E84"/>
    <w:rsid w:val="00362F2C"/>
    <w:rsid w:val="00363D01"/>
    <w:rsid w:val="0036445F"/>
    <w:rsid w:val="00375165"/>
    <w:rsid w:val="003805C3"/>
    <w:rsid w:val="00380BD3"/>
    <w:rsid w:val="00380FCB"/>
    <w:rsid w:val="00382924"/>
    <w:rsid w:val="00382D0C"/>
    <w:rsid w:val="00384907"/>
    <w:rsid w:val="00384C1A"/>
    <w:rsid w:val="003855DF"/>
    <w:rsid w:val="00385931"/>
    <w:rsid w:val="00387F69"/>
    <w:rsid w:val="003911A3"/>
    <w:rsid w:val="00392D2A"/>
    <w:rsid w:val="00393660"/>
    <w:rsid w:val="0039466C"/>
    <w:rsid w:val="00394D28"/>
    <w:rsid w:val="003965C9"/>
    <w:rsid w:val="003972B4"/>
    <w:rsid w:val="00397E97"/>
    <w:rsid w:val="003A11AE"/>
    <w:rsid w:val="003A1B67"/>
    <w:rsid w:val="003A2AF0"/>
    <w:rsid w:val="003A3AD5"/>
    <w:rsid w:val="003A555C"/>
    <w:rsid w:val="003A6B2D"/>
    <w:rsid w:val="003B0C8C"/>
    <w:rsid w:val="003B2B49"/>
    <w:rsid w:val="003B45E8"/>
    <w:rsid w:val="003B4668"/>
    <w:rsid w:val="003B48DF"/>
    <w:rsid w:val="003B4FEC"/>
    <w:rsid w:val="003B5424"/>
    <w:rsid w:val="003B5921"/>
    <w:rsid w:val="003B702C"/>
    <w:rsid w:val="003B7801"/>
    <w:rsid w:val="003C022B"/>
    <w:rsid w:val="003C0848"/>
    <w:rsid w:val="003C2DBA"/>
    <w:rsid w:val="003C59CF"/>
    <w:rsid w:val="003C6C00"/>
    <w:rsid w:val="003D1A06"/>
    <w:rsid w:val="003D3F35"/>
    <w:rsid w:val="003E2A68"/>
    <w:rsid w:val="003E2F56"/>
    <w:rsid w:val="003E443A"/>
    <w:rsid w:val="003E53EE"/>
    <w:rsid w:val="003E56CB"/>
    <w:rsid w:val="003E5DF8"/>
    <w:rsid w:val="003F0813"/>
    <w:rsid w:val="003F2966"/>
    <w:rsid w:val="003F46BE"/>
    <w:rsid w:val="003F5A79"/>
    <w:rsid w:val="004024FA"/>
    <w:rsid w:val="004037B0"/>
    <w:rsid w:val="00403C6F"/>
    <w:rsid w:val="004046B8"/>
    <w:rsid w:val="0040690D"/>
    <w:rsid w:val="00406E37"/>
    <w:rsid w:val="00407672"/>
    <w:rsid w:val="00412C82"/>
    <w:rsid w:val="00413460"/>
    <w:rsid w:val="0042045C"/>
    <w:rsid w:val="00420B3C"/>
    <w:rsid w:val="00421D6B"/>
    <w:rsid w:val="00423440"/>
    <w:rsid w:val="00424817"/>
    <w:rsid w:val="0042542B"/>
    <w:rsid w:val="00426DF1"/>
    <w:rsid w:val="0043082C"/>
    <w:rsid w:val="0043417F"/>
    <w:rsid w:val="00434BA3"/>
    <w:rsid w:val="00435953"/>
    <w:rsid w:val="00435AB1"/>
    <w:rsid w:val="00436C5C"/>
    <w:rsid w:val="0043711A"/>
    <w:rsid w:val="004410D3"/>
    <w:rsid w:val="00441DD4"/>
    <w:rsid w:val="004425BF"/>
    <w:rsid w:val="00443623"/>
    <w:rsid w:val="00443EB5"/>
    <w:rsid w:val="00444BF4"/>
    <w:rsid w:val="00445142"/>
    <w:rsid w:val="004453D2"/>
    <w:rsid w:val="004458B9"/>
    <w:rsid w:val="004464E3"/>
    <w:rsid w:val="00446BF8"/>
    <w:rsid w:val="00453824"/>
    <w:rsid w:val="00456403"/>
    <w:rsid w:val="0045694D"/>
    <w:rsid w:val="00456A77"/>
    <w:rsid w:val="0046172B"/>
    <w:rsid w:val="00461BD0"/>
    <w:rsid w:val="00461DE0"/>
    <w:rsid w:val="004624FF"/>
    <w:rsid w:val="00462934"/>
    <w:rsid w:val="0046393D"/>
    <w:rsid w:val="004658E6"/>
    <w:rsid w:val="00471094"/>
    <w:rsid w:val="00471CDD"/>
    <w:rsid w:val="00473E22"/>
    <w:rsid w:val="004740AB"/>
    <w:rsid w:val="0047629F"/>
    <w:rsid w:val="00476CDB"/>
    <w:rsid w:val="00480061"/>
    <w:rsid w:val="00481380"/>
    <w:rsid w:val="00481F36"/>
    <w:rsid w:val="004830B2"/>
    <w:rsid w:val="00483978"/>
    <w:rsid w:val="00484186"/>
    <w:rsid w:val="0048447E"/>
    <w:rsid w:val="00484496"/>
    <w:rsid w:val="00484BA7"/>
    <w:rsid w:val="00485026"/>
    <w:rsid w:val="00485D25"/>
    <w:rsid w:val="0048703D"/>
    <w:rsid w:val="0049039E"/>
    <w:rsid w:val="00490661"/>
    <w:rsid w:val="004917FF"/>
    <w:rsid w:val="00492E19"/>
    <w:rsid w:val="00494E25"/>
    <w:rsid w:val="004962AA"/>
    <w:rsid w:val="0049772A"/>
    <w:rsid w:val="004A0557"/>
    <w:rsid w:val="004A0FE2"/>
    <w:rsid w:val="004A1428"/>
    <w:rsid w:val="004A202B"/>
    <w:rsid w:val="004A246E"/>
    <w:rsid w:val="004A3281"/>
    <w:rsid w:val="004A4882"/>
    <w:rsid w:val="004A55CC"/>
    <w:rsid w:val="004A5DBA"/>
    <w:rsid w:val="004A5F77"/>
    <w:rsid w:val="004A6A23"/>
    <w:rsid w:val="004B0AC8"/>
    <w:rsid w:val="004B20B1"/>
    <w:rsid w:val="004B2B82"/>
    <w:rsid w:val="004B3094"/>
    <w:rsid w:val="004B464C"/>
    <w:rsid w:val="004B483F"/>
    <w:rsid w:val="004B5DA0"/>
    <w:rsid w:val="004B724E"/>
    <w:rsid w:val="004B77C3"/>
    <w:rsid w:val="004B7988"/>
    <w:rsid w:val="004B7A27"/>
    <w:rsid w:val="004C0E86"/>
    <w:rsid w:val="004C1C1B"/>
    <w:rsid w:val="004C36EF"/>
    <w:rsid w:val="004C5691"/>
    <w:rsid w:val="004C6804"/>
    <w:rsid w:val="004C7FE9"/>
    <w:rsid w:val="004D0ADB"/>
    <w:rsid w:val="004D24D9"/>
    <w:rsid w:val="004D38E9"/>
    <w:rsid w:val="004D426C"/>
    <w:rsid w:val="004D6E34"/>
    <w:rsid w:val="004D75D2"/>
    <w:rsid w:val="004D7BFC"/>
    <w:rsid w:val="004E03BC"/>
    <w:rsid w:val="004E472B"/>
    <w:rsid w:val="004E4B35"/>
    <w:rsid w:val="004F0235"/>
    <w:rsid w:val="004F2248"/>
    <w:rsid w:val="004F2A58"/>
    <w:rsid w:val="004F3220"/>
    <w:rsid w:val="004F3637"/>
    <w:rsid w:val="004F4C7A"/>
    <w:rsid w:val="004F4D08"/>
    <w:rsid w:val="004F581D"/>
    <w:rsid w:val="004F70D2"/>
    <w:rsid w:val="004F78EB"/>
    <w:rsid w:val="00500327"/>
    <w:rsid w:val="005016C5"/>
    <w:rsid w:val="005018FE"/>
    <w:rsid w:val="00501D3D"/>
    <w:rsid w:val="00503CE1"/>
    <w:rsid w:val="005045A2"/>
    <w:rsid w:val="00506D06"/>
    <w:rsid w:val="0050734A"/>
    <w:rsid w:val="00510BD0"/>
    <w:rsid w:val="00510CB3"/>
    <w:rsid w:val="00512BC2"/>
    <w:rsid w:val="00514898"/>
    <w:rsid w:val="005158D3"/>
    <w:rsid w:val="00515BA7"/>
    <w:rsid w:val="005160D3"/>
    <w:rsid w:val="00516B98"/>
    <w:rsid w:val="00520C5F"/>
    <w:rsid w:val="00521CBC"/>
    <w:rsid w:val="005229E6"/>
    <w:rsid w:val="00522ACA"/>
    <w:rsid w:val="00523075"/>
    <w:rsid w:val="005244CB"/>
    <w:rsid w:val="0052635F"/>
    <w:rsid w:val="005271DF"/>
    <w:rsid w:val="005276C5"/>
    <w:rsid w:val="00530459"/>
    <w:rsid w:val="00530ABA"/>
    <w:rsid w:val="00530B3D"/>
    <w:rsid w:val="00530E05"/>
    <w:rsid w:val="00531895"/>
    <w:rsid w:val="00531AB1"/>
    <w:rsid w:val="00532132"/>
    <w:rsid w:val="005323C1"/>
    <w:rsid w:val="00533149"/>
    <w:rsid w:val="0054355A"/>
    <w:rsid w:val="005479D0"/>
    <w:rsid w:val="00547AF1"/>
    <w:rsid w:val="00550A70"/>
    <w:rsid w:val="005511C5"/>
    <w:rsid w:val="00553E10"/>
    <w:rsid w:val="005546AD"/>
    <w:rsid w:val="005607EB"/>
    <w:rsid w:val="005637EC"/>
    <w:rsid w:val="00563B7D"/>
    <w:rsid w:val="00565336"/>
    <w:rsid w:val="0056683F"/>
    <w:rsid w:val="00567E58"/>
    <w:rsid w:val="00570A57"/>
    <w:rsid w:val="00571029"/>
    <w:rsid w:val="00572C6E"/>
    <w:rsid w:val="00572E78"/>
    <w:rsid w:val="00573A84"/>
    <w:rsid w:val="0057472F"/>
    <w:rsid w:val="0057476C"/>
    <w:rsid w:val="005773BD"/>
    <w:rsid w:val="00577D8C"/>
    <w:rsid w:val="00580A7F"/>
    <w:rsid w:val="00581DF1"/>
    <w:rsid w:val="00585B10"/>
    <w:rsid w:val="00590B5C"/>
    <w:rsid w:val="005925CB"/>
    <w:rsid w:val="00595696"/>
    <w:rsid w:val="005A00E4"/>
    <w:rsid w:val="005A1F45"/>
    <w:rsid w:val="005A33E7"/>
    <w:rsid w:val="005A41BC"/>
    <w:rsid w:val="005A427F"/>
    <w:rsid w:val="005A5A94"/>
    <w:rsid w:val="005B0583"/>
    <w:rsid w:val="005B0D58"/>
    <w:rsid w:val="005B2702"/>
    <w:rsid w:val="005B354A"/>
    <w:rsid w:val="005B46FF"/>
    <w:rsid w:val="005B4C2F"/>
    <w:rsid w:val="005B60D4"/>
    <w:rsid w:val="005B7331"/>
    <w:rsid w:val="005C2121"/>
    <w:rsid w:val="005C2341"/>
    <w:rsid w:val="005C3910"/>
    <w:rsid w:val="005C3CF0"/>
    <w:rsid w:val="005C5355"/>
    <w:rsid w:val="005C551F"/>
    <w:rsid w:val="005C7079"/>
    <w:rsid w:val="005C7BA7"/>
    <w:rsid w:val="005D0707"/>
    <w:rsid w:val="005D0F2D"/>
    <w:rsid w:val="005D1C0C"/>
    <w:rsid w:val="005D477B"/>
    <w:rsid w:val="005D6820"/>
    <w:rsid w:val="005E351D"/>
    <w:rsid w:val="005E3D8B"/>
    <w:rsid w:val="005E422A"/>
    <w:rsid w:val="005E474F"/>
    <w:rsid w:val="005E538C"/>
    <w:rsid w:val="005E59F4"/>
    <w:rsid w:val="005E5FA3"/>
    <w:rsid w:val="005E670A"/>
    <w:rsid w:val="005E7B37"/>
    <w:rsid w:val="005F29F4"/>
    <w:rsid w:val="005F39EC"/>
    <w:rsid w:val="005F5173"/>
    <w:rsid w:val="005F534F"/>
    <w:rsid w:val="005F6B5A"/>
    <w:rsid w:val="005F7002"/>
    <w:rsid w:val="00602CFA"/>
    <w:rsid w:val="00602F0C"/>
    <w:rsid w:val="00603074"/>
    <w:rsid w:val="00605B08"/>
    <w:rsid w:val="00606AF9"/>
    <w:rsid w:val="00607213"/>
    <w:rsid w:val="00607FC5"/>
    <w:rsid w:val="00610809"/>
    <w:rsid w:val="00610D59"/>
    <w:rsid w:val="00614B2A"/>
    <w:rsid w:val="00620A5D"/>
    <w:rsid w:val="00620B8B"/>
    <w:rsid w:val="0062124B"/>
    <w:rsid w:val="00621DC7"/>
    <w:rsid w:val="00624FD6"/>
    <w:rsid w:val="006270A5"/>
    <w:rsid w:val="00627DC9"/>
    <w:rsid w:val="00631108"/>
    <w:rsid w:val="006322D5"/>
    <w:rsid w:val="00632767"/>
    <w:rsid w:val="00632989"/>
    <w:rsid w:val="006366B8"/>
    <w:rsid w:val="006370A0"/>
    <w:rsid w:val="0063736B"/>
    <w:rsid w:val="0064034E"/>
    <w:rsid w:val="00640C89"/>
    <w:rsid w:val="0064285A"/>
    <w:rsid w:val="00642F48"/>
    <w:rsid w:val="00643BB2"/>
    <w:rsid w:val="00643D39"/>
    <w:rsid w:val="00643D5B"/>
    <w:rsid w:val="00644E9C"/>
    <w:rsid w:val="0064635F"/>
    <w:rsid w:val="00651431"/>
    <w:rsid w:val="006514A1"/>
    <w:rsid w:val="00653021"/>
    <w:rsid w:val="00657E30"/>
    <w:rsid w:val="006612D8"/>
    <w:rsid w:val="00662A1D"/>
    <w:rsid w:val="00663409"/>
    <w:rsid w:val="006655B2"/>
    <w:rsid w:val="00665B27"/>
    <w:rsid w:val="00667818"/>
    <w:rsid w:val="00667EAB"/>
    <w:rsid w:val="00670218"/>
    <w:rsid w:val="00671976"/>
    <w:rsid w:val="00673018"/>
    <w:rsid w:val="00675388"/>
    <w:rsid w:val="00677AEB"/>
    <w:rsid w:val="006805A6"/>
    <w:rsid w:val="0068122D"/>
    <w:rsid w:val="00681513"/>
    <w:rsid w:val="0068237B"/>
    <w:rsid w:val="00683AD8"/>
    <w:rsid w:val="00686F20"/>
    <w:rsid w:val="00693915"/>
    <w:rsid w:val="0069522E"/>
    <w:rsid w:val="00695B23"/>
    <w:rsid w:val="006A139F"/>
    <w:rsid w:val="006A211C"/>
    <w:rsid w:val="006A2D60"/>
    <w:rsid w:val="006A30F3"/>
    <w:rsid w:val="006A4022"/>
    <w:rsid w:val="006A61D6"/>
    <w:rsid w:val="006B1AC0"/>
    <w:rsid w:val="006B1C00"/>
    <w:rsid w:val="006B1F0C"/>
    <w:rsid w:val="006B4BE3"/>
    <w:rsid w:val="006B4DFF"/>
    <w:rsid w:val="006B55C6"/>
    <w:rsid w:val="006B5799"/>
    <w:rsid w:val="006B5E99"/>
    <w:rsid w:val="006B634A"/>
    <w:rsid w:val="006C0A58"/>
    <w:rsid w:val="006C2D9B"/>
    <w:rsid w:val="006C48E7"/>
    <w:rsid w:val="006C4A65"/>
    <w:rsid w:val="006C552F"/>
    <w:rsid w:val="006C5B21"/>
    <w:rsid w:val="006C6320"/>
    <w:rsid w:val="006C647C"/>
    <w:rsid w:val="006C6F11"/>
    <w:rsid w:val="006C7480"/>
    <w:rsid w:val="006C7902"/>
    <w:rsid w:val="006D1187"/>
    <w:rsid w:val="006D44C0"/>
    <w:rsid w:val="006D5B96"/>
    <w:rsid w:val="006D5DC5"/>
    <w:rsid w:val="006D67C7"/>
    <w:rsid w:val="006D72D2"/>
    <w:rsid w:val="006E0146"/>
    <w:rsid w:val="006E0233"/>
    <w:rsid w:val="006E0A73"/>
    <w:rsid w:val="006E3385"/>
    <w:rsid w:val="006E3EF4"/>
    <w:rsid w:val="006E426F"/>
    <w:rsid w:val="006E5A64"/>
    <w:rsid w:val="006E5CB1"/>
    <w:rsid w:val="006E633B"/>
    <w:rsid w:val="006E6450"/>
    <w:rsid w:val="006E6B4D"/>
    <w:rsid w:val="006E6C84"/>
    <w:rsid w:val="006F0EF2"/>
    <w:rsid w:val="006F4E96"/>
    <w:rsid w:val="006F5D55"/>
    <w:rsid w:val="00701ED7"/>
    <w:rsid w:val="0070302D"/>
    <w:rsid w:val="00704CA9"/>
    <w:rsid w:val="007059FA"/>
    <w:rsid w:val="00706777"/>
    <w:rsid w:val="007111E9"/>
    <w:rsid w:val="007131C5"/>
    <w:rsid w:val="007143A7"/>
    <w:rsid w:val="007143DF"/>
    <w:rsid w:val="00714E8F"/>
    <w:rsid w:val="00715CA0"/>
    <w:rsid w:val="007179B3"/>
    <w:rsid w:val="00721357"/>
    <w:rsid w:val="00721C59"/>
    <w:rsid w:val="0072278E"/>
    <w:rsid w:val="0072290B"/>
    <w:rsid w:val="00725121"/>
    <w:rsid w:val="007306B9"/>
    <w:rsid w:val="00731A20"/>
    <w:rsid w:val="00731FFB"/>
    <w:rsid w:val="00732A85"/>
    <w:rsid w:val="00737461"/>
    <w:rsid w:val="00740238"/>
    <w:rsid w:val="00740267"/>
    <w:rsid w:val="00743D55"/>
    <w:rsid w:val="007448CB"/>
    <w:rsid w:val="00745FA8"/>
    <w:rsid w:val="00746095"/>
    <w:rsid w:val="00746F88"/>
    <w:rsid w:val="00747F98"/>
    <w:rsid w:val="0075005B"/>
    <w:rsid w:val="00750CFD"/>
    <w:rsid w:val="00751770"/>
    <w:rsid w:val="00751BCA"/>
    <w:rsid w:val="0075378D"/>
    <w:rsid w:val="007549D3"/>
    <w:rsid w:val="007557E8"/>
    <w:rsid w:val="00763583"/>
    <w:rsid w:val="00763C11"/>
    <w:rsid w:val="0076411E"/>
    <w:rsid w:val="00764999"/>
    <w:rsid w:val="00764C84"/>
    <w:rsid w:val="00766CF0"/>
    <w:rsid w:val="00766E8C"/>
    <w:rsid w:val="007715E0"/>
    <w:rsid w:val="0077161A"/>
    <w:rsid w:val="0077229E"/>
    <w:rsid w:val="00773A7E"/>
    <w:rsid w:val="00774130"/>
    <w:rsid w:val="007755F4"/>
    <w:rsid w:val="00775C55"/>
    <w:rsid w:val="00780206"/>
    <w:rsid w:val="00781CCA"/>
    <w:rsid w:val="00781F71"/>
    <w:rsid w:val="00786142"/>
    <w:rsid w:val="00791633"/>
    <w:rsid w:val="00791B97"/>
    <w:rsid w:val="0079265F"/>
    <w:rsid w:val="00793DD7"/>
    <w:rsid w:val="00793E8F"/>
    <w:rsid w:val="0079572B"/>
    <w:rsid w:val="0079681A"/>
    <w:rsid w:val="007970A6"/>
    <w:rsid w:val="007A0338"/>
    <w:rsid w:val="007A2941"/>
    <w:rsid w:val="007A50AE"/>
    <w:rsid w:val="007B0104"/>
    <w:rsid w:val="007B1398"/>
    <w:rsid w:val="007B1E9F"/>
    <w:rsid w:val="007B22E8"/>
    <w:rsid w:val="007B26A2"/>
    <w:rsid w:val="007B3E12"/>
    <w:rsid w:val="007B4D0B"/>
    <w:rsid w:val="007B7D68"/>
    <w:rsid w:val="007C0651"/>
    <w:rsid w:val="007C3A46"/>
    <w:rsid w:val="007C3C79"/>
    <w:rsid w:val="007C5A4C"/>
    <w:rsid w:val="007D139C"/>
    <w:rsid w:val="007D1A78"/>
    <w:rsid w:val="007D3FBE"/>
    <w:rsid w:val="007D4C09"/>
    <w:rsid w:val="007D53D3"/>
    <w:rsid w:val="007D597F"/>
    <w:rsid w:val="007D691F"/>
    <w:rsid w:val="007D719E"/>
    <w:rsid w:val="007E0EA2"/>
    <w:rsid w:val="007E0EA5"/>
    <w:rsid w:val="007E32AD"/>
    <w:rsid w:val="007E342F"/>
    <w:rsid w:val="007E46A1"/>
    <w:rsid w:val="007E4A38"/>
    <w:rsid w:val="007E56DE"/>
    <w:rsid w:val="007F038C"/>
    <w:rsid w:val="007F0A40"/>
    <w:rsid w:val="007F1A10"/>
    <w:rsid w:val="007F2AEA"/>
    <w:rsid w:val="007F3188"/>
    <w:rsid w:val="007F5FBD"/>
    <w:rsid w:val="007F62F9"/>
    <w:rsid w:val="007F6438"/>
    <w:rsid w:val="007F64E0"/>
    <w:rsid w:val="007F6823"/>
    <w:rsid w:val="007F7F05"/>
    <w:rsid w:val="0080476F"/>
    <w:rsid w:val="008058F4"/>
    <w:rsid w:val="00805DF1"/>
    <w:rsid w:val="0081020C"/>
    <w:rsid w:val="00810911"/>
    <w:rsid w:val="00812D95"/>
    <w:rsid w:val="00813694"/>
    <w:rsid w:val="00813D17"/>
    <w:rsid w:val="0081412B"/>
    <w:rsid w:val="008149AB"/>
    <w:rsid w:val="00815733"/>
    <w:rsid w:val="00815B9B"/>
    <w:rsid w:val="00815D2E"/>
    <w:rsid w:val="00816DB2"/>
    <w:rsid w:val="0082020D"/>
    <w:rsid w:val="00820CC5"/>
    <w:rsid w:val="0082131F"/>
    <w:rsid w:val="00822CFE"/>
    <w:rsid w:val="00826CCF"/>
    <w:rsid w:val="00826E18"/>
    <w:rsid w:val="008276A7"/>
    <w:rsid w:val="0083053C"/>
    <w:rsid w:val="008305A4"/>
    <w:rsid w:val="00832387"/>
    <w:rsid w:val="00832767"/>
    <w:rsid w:val="00835209"/>
    <w:rsid w:val="008366D0"/>
    <w:rsid w:val="00844ED3"/>
    <w:rsid w:val="00846AA4"/>
    <w:rsid w:val="00846D2E"/>
    <w:rsid w:val="00846F37"/>
    <w:rsid w:val="00847B50"/>
    <w:rsid w:val="0085180D"/>
    <w:rsid w:val="00852D6C"/>
    <w:rsid w:val="008538A3"/>
    <w:rsid w:val="008544AC"/>
    <w:rsid w:val="008548FC"/>
    <w:rsid w:val="008554F3"/>
    <w:rsid w:val="00855CE2"/>
    <w:rsid w:val="00855DFC"/>
    <w:rsid w:val="0085643C"/>
    <w:rsid w:val="008566CA"/>
    <w:rsid w:val="0085715A"/>
    <w:rsid w:val="008607B4"/>
    <w:rsid w:val="0086128B"/>
    <w:rsid w:val="008613E9"/>
    <w:rsid w:val="00861869"/>
    <w:rsid w:val="008618D3"/>
    <w:rsid w:val="008633D4"/>
    <w:rsid w:val="00867EDE"/>
    <w:rsid w:val="008727B0"/>
    <w:rsid w:val="008729C3"/>
    <w:rsid w:val="00872B78"/>
    <w:rsid w:val="008762FF"/>
    <w:rsid w:val="008764C5"/>
    <w:rsid w:val="008777DC"/>
    <w:rsid w:val="008818C1"/>
    <w:rsid w:val="00882B9B"/>
    <w:rsid w:val="008834F9"/>
    <w:rsid w:val="00883D31"/>
    <w:rsid w:val="00885A3C"/>
    <w:rsid w:val="0088681E"/>
    <w:rsid w:val="00892098"/>
    <w:rsid w:val="00893917"/>
    <w:rsid w:val="00894C0C"/>
    <w:rsid w:val="008960CE"/>
    <w:rsid w:val="00896E68"/>
    <w:rsid w:val="008A01C6"/>
    <w:rsid w:val="008A0DBC"/>
    <w:rsid w:val="008A0E5A"/>
    <w:rsid w:val="008A1690"/>
    <w:rsid w:val="008A1DF1"/>
    <w:rsid w:val="008A2A6E"/>
    <w:rsid w:val="008A2CE4"/>
    <w:rsid w:val="008A2E66"/>
    <w:rsid w:val="008A3567"/>
    <w:rsid w:val="008A37EF"/>
    <w:rsid w:val="008A3F18"/>
    <w:rsid w:val="008A41DC"/>
    <w:rsid w:val="008B1430"/>
    <w:rsid w:val="008B20AA"/>
    <w:rsid w:val="008B4351"/>
    <w:rsid w:val="008B64D5"/>
    <w:rsid w:val="008B6811"/>
    <w:rsid w:val="008C1894"/>
    <w:rsid w:val="008C2216"/>
    <w:rsid w:val="008C3365"/>
    <w:rsid w:val="008C5AD3"/>
    <w:rsid w:val="008C6647"/>
    <w:rsid w:val="008D0308"/>
    <w:rsid w:val="008D255B"/>
    <w:rsid w:val="008D345F"/>
    <w:rsid w:val="008D3D13"/>
    <w:rsid w:val="008D3E97"/>
    <w:rsid w:val="008D3F73"/>
    <w:rsid w:val="008D5F1A"/>
    <w:rsid w:val="008E1E23"/>
    <w:rsid w:val="008E4BB2"/>
    <w:rsid w:val="008E5488"/>
    <w:rsid w:val="008F09F8"/>
    <w:rsid w:val="008F1533"/>
    <w:rsid w:val="008F21C0"/>
    <w:rsid w:val="008F298C"/>
    <w:rsid w:val="008F41C0"/>
    <w:rsid w:val="008F4362"/>
    <w:rsid w:val="008F5BB7"/>
    <w:rsid w:val="008F6664"/>
    <w:rsid w:val="008F7CDB"/>
    <w:rsid w:val="00900DF5"/>
    <w:rsid w:val="00902755"/>
    <w:rsid w:val="00902F00"/>
    <w:rsid w:val="00904EA7"/>
    <w:rsid w:val="00905041"/>
    <w:rsid w:val="009056E8"/>
    <w:rsid w:val="00905AB3"/>
    <w:rsid w:val="00907567"/>
    <w:rsid w:val="00911205"/>
    <w:rsid w:val="00912435"/>
    <w:rsid w:val="00917A26"/>
    <w:rsid w:val="009214D5"/>
    <w:rsid w:val="0092519C"/>
    <w:rsid w:val="009262D7"/>
    <w:rsid w:val="00926942"/>
    <w:rsid w:val="00926955"/>
    <w:rsid w:val="0092740B"/>
    <w:rsid w:val="00932329"/>
    <w:rsid w:val="00932C50"/>
    <w:rsid w:val="009371D4"/>
    <w:rsid w:val="0093762A"/>
    <w:rsid w:val="009400BA"/>
    <w:rsid w:val="00941456"/>
    <w:rsid w:val="0094196C"/>
    <w:rsid w:val="009429A0"/>
    <w:rsid w:val="00946D1A"/>
    <w:rsid w:val="00950B19"/>
    <w:rsid w:val="00953166"/>
    <w:rsid w:val="00953A52"/>
    <w:rsid w:val="00954965"/>
    <w:rsid w:val="00960156"/>
    <w:rsid w:val="009612A4"/>
    <w:rsid w:val="0096181D"/>
    <w:rsid w:val="0096410D"/>
    <w:rsid w:val="00965E42"/>
    <w:rsid w:val="0096645B"/>
    <w:rsid w:val="00970794"/>
    <w:rsid w:val="00970DEB"/>
    <w:rsid w:val="00971CD1"/>
    <w:rsid w:val="009735A5"/>
    <w:rsid w:val="009810E4"/>
    <w:rsid w:val="00981745"/>
    <w:rsid w:val="009827AE"/>
    <w:rsid w:val="00987181"/>
    <w:rsid w:val="009906F2"/>
    <w:rsid w:val="0099164D"/>
    <w:rsid w:val="00991D5A"/>
    <w:rsid w:val="00994A93"/>
    <w:rsid w:val="009950DB"/>
    <w:rsid w:val="00996DD1"/>
    <w:rsid w:val="00996F48"/>
    <w:rsid w:val="009A1AE0"/>
    <w:rsid w:val="009A1DC8"/>
    <w:rsid w:val="009A3457"/>
    <w:rsid w:val="009A3BEE"/>
    <w:rsid w:val="009A4906"/>
    <w:rsid w:val="009A5205"/>
    <w:rsid w:val="009A562B"/>
    <w:rsid w:val="009A724B"/>
    <w:rsid w:val="009B1DFD"/>
    <w:rsid w:val="009B2D01"/>
    <w:rsid w:val="009B317B"/>
    <w:rsid w:val="009B437F"/>
    <w:rsid w:val="009B4BE4"/>
    <w:rsid w:val="009B655A"/>
    <w:rsid w:val="009C132E"/>
    <w:rsid w:val="009C16AA"/>
    <w:rsid w:val="009C549E"/>
    <w:rsid w:val="009C5619"/>
    <w:rsid w:val="009C7A67"/>
    <w:rsid w:val="009D05B6"/>
    <w:rsid w:val="009D10AF"/>
    <w:rsid w:val="009D246A"/>
    <w:rsid w:val="009D3D85"/>
    <w:rsid w:val="009D43C7"/>
    <w:rsid w:val="009D48FE"/>
    <w:rsid w:val="009D539E"/>
    <w:rsid w:val="009D58F8"/>
    <w:rsid w:val="009D5E06"/>
    <w:rsid w:val="009D63A9"/>
    <w:rsid w:val="009E09D3"/>
    <w:rsid w:val="009E0E61"/>
    <w:rsid w:val="009E319F"/>
    <w:rsid w:val="009E36A6"/>
    <w:rsid w:val="009E373A"/>
    <w:rsid w:val="009E4877"/>
    <w:rsid w:val="009E58F7"/>
    <w:rsid w:val="009F36B3"/>
    <w:rsid w:val="009F4BE7"/>
    <w:rsid w:val="009F5D5C"/>
    <w:rsid w:val="009F629A"/>
    <w:rsid w:val="009F79B4"/>
    <w:rsid w:val="009F7A0C"/>
    <w:rsid w:val="00A00BFE"/>
    <w:rsid w:val="00A01D57"/>
    <w:rsid w:val="00A0212C"/>
    <w:rsid w:val="00A02305"/>
    <w:rsid w:val="00A024CD"/>
    <w:rsid w:val="00A0372F"/>
    <w:rsid w:val="00A0787D"/>
    <w:rsid w:val="00A07F33"/>
    <w:rsid w:val="00A10C9C"/>
    <w:rsid w:val="00A10F78"/>
    <w:rsid w:val="00A113E7"/>
    <w:rsid w:val="00A16011"/>
    <w:rsid w:val="00A1697E"/>
    <w:rsid w:val="00A17AE5"/>
    <w:rsid w:val="00A17B25"/>
    <w:rsid w:val="00A20B37"/>
    <w:rsid w:val="00A212CB"/>
    <w:rsid w:val="00A21B02"/>
    <w:rsid w:val="00A21DA7"/>
    <w:rsid w:val="00A2376B"/>
    <w:rsid w:val="00A23F09"/>
    <w:rsid w:val="00A24639"/>
    <w:rsid w:val="00A24EE1"/>
    <w:rsid w:val="00A26899"/>
    <w:rsid w:val="00A26CAD"/>
    <w:rsid w:val="00A27928"/>
    <w:rsid w:val="00A30226"/>
    <w:rsid w:val="00A304DC"/>
    <w:rsid w:val="00A30783"/>
    <w:rsid w:val="00A31682"/>
    <w:rsid w:val="00A317F2"/>
    <w:rsid w:val="00A32C47"/>
    <w:rsid w:val="00A32E38"/>
    <w:rsid w:val="00A362AD"/>
    <w:rsid w:val="00A36C2B"/>
    <w:rsid w:val="00A36E42"/>
    <w:rsid w:val="00A404A8"/>
    <w:rsid w:val="00A40B16"/>
    <w:rsid w:val="00A41077"/>
    <w:rsid w:val="00A41518"/>
    <w:rsid w:val="00A41759"/>
    <w:rsid w:val="00A427F5"/>
    <w:rsid w:val="00A4785A"/>
    <w:rsid w:val="00A511DC"/>
    <w:rsid w:val="00A51B32"/>
    <w:rsid w:val="00A51E25"/>
    <w:rsid w:val="00A520A6"/>
    <w:rsid w:val="00A52F10"/>
    <w:rsid w:val="00A534B5"/>
    <w:rsid w:val="00A53ADE"/>
    <w:rsid w:val="00A54853"/>
    <w:rsid w:val="00A54D17"/>
    <w:rsid w:val="00A55E8A"/>
    <w:rsid w:val="00A57D2F"/>
    <w:rsid w:val="00A6264F"/>
    <w:rsid w:val="00A62A70"/>
    <w:rsid w:val="00A6397B"/>
    <w:rsid w:val="00A6440E"/>
    <w:rsid w:val="00A66A68"/>
    <w:rsid w:val="00A706C3"/>
    <w:rsid w:val="00A70CB0"/>
    <w:rsid w:val="00A72E7C"/>
    <w:rsid w:val="00A80505"/>
    <w:rsid w:val="00A84A8B"/>
    <w:rsid w:val="00A868EA"/>
    <w:rsid w:val="00A86C06"/>
    <w:rsid w:val="00A91A27"/>
    <w:rsid w:val="00A91FA8"/>
    <w:rsid w:val="00A93149"/>
    <w:rsid w:val="00A94483"/>
    <w:rsid w:val="00AA1AE7"/>
    <w:rsid w:val="00AA26EE"/>
    <w:rsid w:val="00AA275B"/>
    <w:rsid w:val="00AA3465"/>
    <w:rsid w:val="00AA41BB"/>
    <w:rsid w:val="00AA6729"/>
    <w:rsid w:val="00AA6A81"/>
    <w:rsid w:val="00AB0DDC"/>
    <w:rsid w:val="00AB0EF1"/>
    <w:rsid w:val="00AB2605"/>
    <w:rsid w:val="00AB2CD9"/>
    <w:rsid w:val="00AB3337"/>
    <w:rsid w:val="00AB559C"/>
    <w:rsid w:val="00AB55B8"/>
    <w:rsid w:val="00AB756A"/>
    <w:rsid w:val="00AB79B1"/>
    <w:rsid w:val="00AC0A21"/>
    <w:rsid w:val="00AC0AFE"/>
    <w:rsid w:val="00AC122D"/>
    <w:rsid w:val="00AC2CCE"/>
    <w:rsid w:val="00AC79F2"/>
    <w:rsid w:val="00AD049B"/>
    <w:rsid w:val="00AD095F"/>
    <w:rsid w:val="00AD0BB1"/>
    <w:rsid w:val="00AD226E"/>
    <w:rsid w:val="00AD33B0"/>
    <w:rsid w:val="00AD3EEE"/>
    <w:rsid w:val="00AD3F0A"/>
    <w:rsid w:val="00AD5C90"/>
    <w:rsid w:val="00AD707E"/>
    <w:rsid w:val="00AE049E"/>
    <w:rsid w:val="00AE1BC8"/>
    <w:rsid w:val="00AE2047"/>
    <w:rsid w:val="00AE3475"/>
    <w:rsid w:val="00AE557E"/>
    <w:rsid w:val="00AE5B1F"/>
    <w:rsid w:val="00AE7586"/>
    <w:rsid w:val="00AF2459"/>
    <w:rsid w:val="00AF39EE"/>
    <w:rsid w:val="00AF3ED3"/>
    <w:rsid w:val="00AF57D5"/>
    <w:rsid w:val="00AF5B07"/>
    <w:rsid w:val="00AF7090"/>
    <w:rsid w:val="00AF7AE0"/>
    <w:rsid w:val="00AF7E5B"/>
    <w:rsid w:val="00B01C09"/>
    <w:rsid w:val="00B02546"/>
    <w:rsid w:val="00B04274"/>
    <w:rsid w:val="00B04D18"/>
    <w:rsid w:val="00B064B2"/>
    <w:rsid w:val="00B06ED3"/>
    <w:rsid w:val="00B07673"/>
    <w:rsid w:val="00B07D47"/>
    <w:rsid w:val="00B13970"/>
    <w:rsid w:val="00B1699A"/>
    <w:rsid w:val="00B16E84"/>
    <w:rsid w:val="00B17C07"/>
    <w:rsid w:val="00B2002B"/>
    <w:rsid w:val="00B21B59"/>
    <w:rsid w:val="00B27353"/>
    <w:rsid w:val="00B304D1"/>
    <w:rsid w:val="00B3148E"/>
    <w:rsid w:val="00B31E5E"/>
    <w:rsid w:val="00B326AB"/>
    <w:rsid w:val="00B33D10"/>
    <w:rsid w:val="00B3473E"/>
    <w:rsid w:val="00B353C2"/>
    <w:rsid w:val="00B371EE"/>
    <w:rsid w:val="00B40108"/>
    <w:rsid w:val="00B4010C"/>
    <w:rsid w:val="00B40525"/>
    <w:rsid w:val="00B40B15"/>
    <w:rsid w:val="00B4152A"/>
    <w:rsid w:val="00B46A6A"/>
    <w:rsid w:val="00B46D76"/>
    <w:rsid w:val="00B51392"/>
    <w:rsid w:val="00B51473"/>
    <w:rsid w:val="00B518F9"/>
    <w:rsid w:val="00B52285"/>
    <w:rsid w:val="00B53B6C"/>
    <w:rsid w:val="00B5642E"/>
    <w:rsid w:val="00B572A5"/>
    <w:rsid w:val="00B6149D"/>
    <w:rsid w:val="00B628FF"/>
    <w:rsid w:val="00B6334C"/>
    <w:rsid w:val="00B6335C"/>
    <w:rsid w:val="00B643D3"/>
    <w:rsid w:val="00B64C71"/>
    <w:rsid w:val="00B701F8"/>
    <w:rsid w:val="00B70D65"/>
    <w:rsid w:val="00B72D0C"/>
    <w:rsid w:val="00B832CA"/>
    <w:rsid w:val="00B8493A"/>
    <w:rsid w:val="00B8604A"/>
    <w:rsid w:val="00B90A10"/>
    <w:rsid w:val="00B9183B"/>
    <w:rsid w:val="00BA2197"/>
    <w:rsid w:val="00BA339E"/>
    <w:rsid w:val="00BA36EA"/>
    <w:rsid w:val="00BA58DE"/>
    <w:rsid w:val="00BA78F6"/>
    <w:rsid w:val="00BB1A35"/>
    <w:rsid w:val="00BB1FDB"/>
    <w:rsid w:val="00BB40F2"/>
    <w:rsid w:val="00BB5ABD"/>
    <w:rsid w:val="00BB6C9A"/>
    <w:rsid w:val="00BC0811"/>
    <w:rsid w:val="00BC1824"/>
    <w:rsid w:val="00BC1E45"/>
    <w:rsid w:val="00BC4288"/>
    <w:rsid w:val="00BC5460"/>
    <w:rsid w:val="00BC5624"/>
    <w:rsid w:val="00BC7177"/>
    <w:rsid w:val="00BC74D9"/>
    <w:rsid w:val="00BC76EF"/>
    <w:rsid w:val="00BC7E34"/>
    <w:rsid w:val="00BD00B5"/>
    <w:rsid w:val="00BD0A77"/>
    <w:rsid w:val="00BD1392"/>
    <w:rsid w:val="00BD1A31"/>
    <w:rsid w:val="00BD20FB"/>
    <w:rsid w:val="00BD21A0"/>
    <w:rsid w:val="00BD285D"/>
    <w:rsid w:val="00BD3849"/>
    <w:rsid w:val="00BD3D60"/>
    <w:rsid w:val="00BD3DF9"/>
    <w:rsid w:val="00BD55EA"/>
    <w:rsid w:val="00BE0183"/>
    <w:rsid w:val="00BE18E0"/>
    <w:rsid w:val="00BE26F9"/>
    <w:rsid w:val="00BE476E"/>
    <w:rsid w:val="00BE5327"/>
    <w:rsid w:val="00BF0BC3"/>
    <w:rsid w:val="00BF212F"/>
    <w:rsid w:val="00BF2A3A"/>
    <w:rsid w:val="00BF3690"/>
    <w:rsid w:val="00BF3993"/>
    <w:rsid w:val="00BF3CD5"/>
    <w:rsid w:val="00BF3D56"/>
    <w:rsid w:val="00BF5F38"/>
    <w:rsid w:val="00BF7D34"/>
    <w:rsid w:val="00C0161B"/>
    <w:rsid w:val="00C0187E"/>
    <w:rsid w:val="00C03056"/>
    <w:rsid w:val="00C03433"/>
    <w:rsid w:val="00C04B36"/>
    <w:rsid w:val="00C109C6"/>
    <w:rsid w:val="00C133E2"/>
    <w:rsid w:val="00C1465B"/>
    <w:rsid w:val="00C14BB1"/>
    <w:rsid w:val="00C15CFC"/>
    <w:rsid w:val="00C233A1"/>
    <w:rsid w:val="00C23913"/>
    <w:rsid w:val="00C2402B"/>
    <w:rsid w:val="00C30061"/>
    <w:rsid w:val="00C3136A"/>
    <w:rsid w:val="00C31A0E"/>
    <w:rsid w:val="00C32497"/>
    <w:rsid w:val="00C32547"/>
    <w:rsid w:val="00C3517F"/>
    <w:rsid w:val="00C356B3"/>
    <w:rsid w:val="00C40D3A"/>
    <w:rsid w:val="00C4503A"/>
    <w:rsid w:val="00C4522F"/>
    <w:rsid w:val="00C4541F"/>
    <w:rsid w:val="00C47031"/>
    <w:rsid w:val="00C477F5"/>
    <w:rsid w:val="00C478EF"/>
    <w:rsid w:val="00C47F05"/>
    <w:rsid w:val="00C52372"/>
    <w:rsid w:val="00C54097"/>
    <w:rsid w:val="00C55A14"/>
    <w:rsid w:val="00C56328"/>
    <w:rsid w:val="00C5645D"/>
    <w:rsid w:val="00C6366B"/>
    <w:rsid w:val="00C644B1"/>
    <w:rsid w:val="00C64CDC"/>
    <w:rsid w:val="00C65584"/>
    <w:rsid w:val="00C67175"/>
    <w:rsid w:val="00C70464"/>
    <w:rsid w:val="00C70A93"/>
    <w:rsid w:val="00C70FA2"/>
    <w:rsid w:val="00C723D1"/>
    <w:rsid w:val="00C73D74"/>
    <w:rsid w:val="00C74C2F"/>
    <w:rsid w:val="00C74E20"/>
    <w:rsid w:val="00C757A2"/>
    <w:rsid w:val="00C77336"/>
    <w:rsid w:val="00C778DA"/>
    <w:rsid w:val="00C80949"/>
    <w:rsid w:val="00C8139D"/>
    <w:rsid w:val="00C814EC"/>
    <w:rsid w:val="00C82434"/>
    <w:rsid w:val="00C82D2D"/>
    <w:rsid w:val="00C83B58"/>
    <w:rsid w:val="00C854F3"/>
    <w:rsid w:val="00C87A48"/>
    <w:rsid w:val="00C93EA1"/>
    <w:rsid w:val="00C9508B"/>
    <w:rsid w:val="00C95212"/>
    <w:rsid w:val="00C952BF"/>
    <w:rsid w:val="00C9747F"/>
    <w:rsid w:val="00CA2CE4"/>
    <w:rsid w:val="00CA30F9"/>
    <w:rsid w:val="00CA495F"/>
    <w:rsid w:val="00CA61F2"/>
    <w:rsid w:val="00CA70BA"/>
    <w:rsid w:val="00CB0091"/>
    <w:rsid w:val="00CB03D0"/>
    <w:rsid w:val="00CB183E"/>
    <w:rsid w:val="00CB1F61"/>
    <w:rsid w:val="00CB2541"/>
    <w:rsid w:val="00CB4CE9"/>
    <w:rsid w:val="00CB4DE8"/>
    <w:rsid w:val="00CB503F"/>
    <w:rsid w:val="00CB546C"/>
    <w:rsid w:val="00CB6F2B"/>
    <w:rsid w:val="00CB74CC"/>
    <w:rsid w:val="00CC02A0"/>
    <w:rsid w:val="00CC1C98"/>
    <w:rsid w:val="00CC2B7E"/>
    <w:rsid w:val="00CC4753"/>
    <w:rsid w:val="00CC4A76"/>
    <w:rsid w:val="00CC6E92"/>
    <w:rsid w:val="00CD0A3B"/>
    <w:rsid w:val="00CD218D"/>
    <w:rsid w:val="00CD2215"/>
    <w:rsid w:val="00CD5820"/>
    <w:rsid w:val="00CD6D25"/>
    <w:rsid w:val="00CD7358"/>
    <w:rsid w:val="00CE0461"/>
    <w:rsid w:val="00CE233B"/>
    <w:rsid w:val="00CE261E"/>
    <w:rsid w:val="00CE444F"/>
    <w:rsid w:val="00CE5C94"/>
    <w:rsid w:val="00CE7093"/>
    <w:rsid w:val="00CF039B"/>
    <w:rsid w:val="00CF0837"/>
    <w:rsid w:val="00CF110A"/>
    <w:rsid w:val="00CF1600"/>
    <w:rsid w:val="00CF2457"/>
    <w:rsid w:val="00CF30BE"/>
    <w:rsid w:val="00CF3264"/>
    <w:rsid w:val="00CF32F9"/>
    <w:rsid w:val="00D001BE"/>
    <w:rsid w:val="00D0156A"/>
    <w:rsid w:val="00D019A4"/>
    <w:rsid w:val="00D034B3"/>
    <w:rsid w:val="00D03E46"/>
    <w:rsid w:val="00D04975"/>
    <w:rsid w:val="00D05BDD"/>
    <w:rsid w:val="00D05C6C"/>
    <w:rsid w:val="00D06596"/>
    <w:rsid w:val="00D10B99"/>
    <w:rsid w:val="00D129EB"/>
    <w:rsid w:val="00D1328A"/>
    <w:rsid w:val="00D1355C"/>
    <w:rsid w:val="00D13F03"/>
    <w:rsid w:val="00D13FCA"/>
    <w:rsid w:val="00D14EB3"/>
    <w:rsid w:val="00D1573E"/>
    <w:rsid w:val="00D20594"/>
    <w:rsid w:val="00D2508B"/>
    <w:rsid w:val="00D255EA"/>
    <w:rsid w:val="00D258D1"/>
    <w:rsid w:val="00D320B5"/>
    <w:rsid w:val="00D3416E"/>
    <w:rsid w:val="00D346ED"/>
    <w:rsid w:val="00D36D52"/>
    <w:rsid w:val="00D37763"/>
    <w:rsid w:val="00D425CE"/>
    <w:rsid w:val="00D43386"/>
    <w:rsid w:val="00D437F0"/>
    <w:rsid w:val="00D47ED7"/>
    <w:rsid w:val="00D47FDF"/>
    <w:rsid w:val="00D54F04"/>
    <w:rsid w:val="00D55DBE"/>
    <w:rsid w:val="00D61C5D"/>
    <w:rsid w:val="00D6429A"/>
    <w:rsid w:val="00D72725"/>
    <w:rsid w:val="00D727F0"/>
    <w:rsid w:val="00D7370D"/>
    <w:rsid w:val="00D73882"/>
    <w:rsid w:val="00D7476A"/>
    <w:rsid w:val="00D76751"/>
    <w:rsid w:val="00D772EF"/>
    <w:rsid w:val="00D776C4"/>
    <w:rsid w:val="00D8542E"/>
    <w:rsid w:val="00D856C0"/>
    <w:rsid w:val="00D86148"/>
    <w:rsid w:val="00D9040E"/>
    <w:rsid w:val="00D931CE"/>
    <w:rsid w:val="00D93589"/>
    <w:rsid w:val="00D951DD"/>
    <w:rsid w:val="00D95D32"/>
    <w:rsid w:val="00D97CBB"/>
    <w:rsid w:val="00DA02AC"/>
    <w:rsid w:val="00DA082B"/>
    <w:rsid w:val="00DA0AB0"/>
    <w:rsid w:val="00DA1190"/>
    <w:rsid w:val="00DA2283"/>
    <w:rsid w:val="00DA3138"/>
    <w:rsid w:val="00DA41D5"/>
    <w:rsid w:val="00DA442F"/>
    <w:rsid w:val="00DA72DD"/>
    <w:rsid w:val="00DA7ED7"/>
    <w:rsid w:val="00DB320B"/>
    <w:rsid w:val="00DB368E"/>
    <w:rsid w:val="00DB5259"/>
    <w:rsid w:val="00DB5DDA"/>
    <w:rsid w:val="00DB60AE"/>
    <w:rsid w:val="00DB7790"/>
    <w:rsid w:val="00DB7AF0"/>
    <w:rsid w:val="00DB7D06"/>
    <w:rsid w:val="00DC04BC"/>
    <w:rsid w:val="00DC1972"/>
    <w:rsid w:val="00DC2E4F"/>
    <w:rsid w:val="00DC33A6"/>
    <w:rsid w:val="00DC4737"/>
    <w:rsid w:val="00DC7540"/>
    <w:rsid w:val="00DD0041"/>
    <w:rsid w:val="00DD1108"/>
    <w:rsid w:val="00DD1DDC"/>
    <w:rsid w:val="00DD314A"/>
    <w:rsid w:val="00DD32C4"/>
    <w:rsid w:val="00DD3A8F"/>
    <w:rsid w:val="00DD4AAD"/>
    <w:rsid w:val="00DD7196"/>
    <w:rsid w:val="00DE0F24"/>
    <w:rsid w:val="00DE102B"/>
    <w:rsid w:val="00DE2C44"/>
    <w:rsid w:val="00DE4432"/>
    <w:rsid w:val="00DE7B5B"/>
    <w:rsid w:val="00DE7BFF"/>
    <w:rsid w:val="00DE7DC1"/>
    <w:rsid w:val="00DE7EF7"/>
    <w:rsid w:val="00DE7FDC"/>
    <w:rsid w:val="00DF307C"/>
    <w:rsid w:val="00DF3E1E"/>
    <w:rsid w:val="00DF45A4"/>
    <w:rsid w:val="00E02933"/>
    <w:rsid w:val="00E02DB4"/>
    <w:rsid w:val="00E039EC"/>
    <w:rsid w:val="00E04341"/>
    <w:rsid w:val="00E05565"/>
    <w:rsid w:val="00E0572C"/>
    <w:rsid w:val="00E05E6E"/>
    <w:rsid w:val="00E1086E"/>
    <w:rsid w:val="00E1111B"/>
    <w:rsid w:val="00E131BB"/>
    <w:rsid w:val="00E1348A"/>
    <w:rsid w:val="00E1395B"/>
    <w:rsid w:val="00E15B84"/>
    <w:rsid w:val="00E1789C"/>
    <w:rsid w:val="00E17A99"/>
    <w:rsid w:val="00E20C9B"/>
    <w:rsid w:val="00E21D57"/>
    <w:rsid w:val="00E21FEF"/>
    <w:rsid w:val="00E22243"/>
    <w:rsid w:val="00E2246E"/>
    <w:rsid w:val="00E22D15"/>
    <w:rsid w:val="00E26100"/>
    <w:rsid w:val="00E2683E"/>
    <w:rsid w:val="00E26EFC"/>
    <w:rsid w:val="00E316E2"/>
    <w:rsid w:val="00E32791"/>
    <w:rsid w:val="00E33F99"/>
    <w:rsid w:val="00E3457E"/>
    <w:rsid w:val="00E35B46"/>
    <w:rsid w:val="00E37EF7"/>
    <w:rsid w:val="00E415C3"/>
    <w:rsid w:val="00E45BDE"/>
    <w:rsid w:val="00E45D6A"/>
    <w:rsid w:val="00E46427"/>
    <w:rsid w:val="00E47D49"/>
    <w:rsid w:val="00E51835"/>
    <w:rsid w:val="00E5216F"/>
    <w:rsid w:val="00E54F68"/>
    <w:rsid w:val="00E606D5"/>
    <w:rsid w:val="00E60F2E"/>
    <w:rsid w:val="00E64E7C"/>
    <w:rsid w:val="00E658E4"/>
    <w:rsid w:val="00E6653F"/>
    <w:rsid w:val="00E7316A"/>
    <w:rsid w:val="00E73814"/>
    <w:rsid w:val="00E73CFD"/>
    <w:rsid w:val="00E74370"/>
    <w:rsid w:val="00E762EF"/>
    <w:rsid w:val="00E76C5B"/>
    <w:rsid w:val="00E77075"/>
    <w:rsid w:val="00E77C6C"/>
    <w:rsid w:val="00E77D72"/>
    <w:rsid w:val="00E8025D"/>
    <w:rsid w:val="00E809E7"/>
    <w:rsid w:val="00E835EF"/>
    <w:rsid w:val="00E849CF"/>
    <w:rsid w:val="00E871E2"/>
    <w:rsid w:val="00E8743B"/>
    <w:rsid w:val="00E9003B"/>
    <w:rsid w:val="00E9166F"/>
    <w:rsid w:val="00E92C23"/>
    <w:rsid w:val="00E94148"/>
    <w:rsid w:val="00E946FD"/>
    <w:rsid w:val="00E97433"/>
    <w:rsid w:val="00E974E7"/>
    <w:rsid w:val="00E975DF"/>
    <w:rsid w:val="00EA2593"/>
    <w:rsid w:val="00EA30E9"/>
    <w:rsid w:val="00EA4E6E"/>
    <w:rsid w:val="00EA5612"/>
    <w:rsid w:val="00EB0180"/>
    <w:rsid w:val="00EB039E"/>
    <w:rsid w:val="00EB0B34"/>
    <w:rsid w:val="00EB209A"/>
    <w:rsid w:val="00EB2356"/>
    <w:rsid w:val="00EB2CF1"/>
    <w:rsid w:val="00EB4B17"/>
    <w:rsid w:val="00EB4E3F"/>
    <w:rsid w:val="00EB519B"/>
    <w:rsid w:val="00EB5251"/>
    <w:rsid w:val="00EB5886"/>
    <w:rsid w:val="00EB67B1"/>
    <w:rsid w:val="00EB7F81"/>
    <w:rsid w:val="00EC0F89"/>
    <w:rsid w:val="00EC1E7D"/>
    <w:rsid w:val="00EC2DFE"/>
    <w:rsid w:val="00EC5127"/>
    <w:rsid w:val="00EC7360"/>
    <w:rsid w:val="00ED0675"/>
    <w:rsid w:val="00ED2DF3"/>
    <w:rsid w:val="00ED3937"/>
    <w:rsid w:val="00ED684A"/>
    <w:rsid w:val="00EE34C1"/>
    <w:rsid w:val="00EE34F9"/>
    <w:rsid w:val="00EE4436"/>
    <w:rsid w:val="00EE4DB5"/>
    <w:rsid w:val="00EE52FD"/>
    <w:rsid w:val="00EE6A7A"/>
    <w:rsid w:val="00EE7420"/>
    <w:rsid w:val="00EE7B5E"/>
    <w:rsid w:val="00EF05AC"/>
    <w:rsid w:val="00EF0B7C"/>
    <w:rsid w:val="00EF0FED"/>
    <w:rsid w:val="00EF274A"/>
    <w:rsid w:val="00EF4C93"/>
    <w:rsid w:val="00EF5D14"/>
    <w:rsid w:val="00EF5ED2"/>
    <w:rsid w:val="00F004AF"/>
    <w:rsid w:val="00F03E7B"/>
    <w:rsid w:val="00F040E7"/>
    <w:rsid w:val="00F05EE6"/>
    <w:rsid w:val="00F06755"/>
    <w:rsid w:val="00F07E0A"/>
    <w:rsid w:val="00F10473"/>
    <w:rsid w:val="00F10C41"/>
    <w:rsid w:val="00F1157E"/>
    <w:rsid w:val="00F1497A"/>
    <w:rsid w:val="00F158B8"/>
    <w:rsid w:val="00F15CF7"/>
    <w:rsid w:val="00F206A7"/>
    <w:rsid w:val="00F20821"/>
    <w:rsid w:val="00F20D13"/>
    <w:rsid w:val="00F22048"/>
    <w:rsid w:val="00F22F61"/>
    <w:rsid w:val="00F23D86"/>
    <w:rsid w:val="00F24A29"/>
    <w:rsid w:val="00F26092"/>
    <w:rsid w:val="00F3216D"/>
    <w:rsid w:val="00F35F2A"/>
    <w:rsid w:val="00F40A82"/>
    <w:rsid w:val="00F41AA9"/>
    <w:rsid w:val="00F433C7"/>
    <w:rsid w:val="00F43E15"/>
    <w:rsid w:val="00F43FB1"/>
    <w:rsid w:val="00F44D23"/>
    <w:rsid w:val="00F44FAA"/>
    <w:rsid w:val="00F4654B"/>
    <w:rsid w:val="00F479A1"/>
    <w:rsid w:val="00F47E4D"/>
    <w:rsid w:val="00F50963"/>
    <w:rsid w:val="00F52350"/>
    <w:rsid w:val="00F528E7"/>
    <w:rsid w:val="00F533DB"/>
    <w:rsid w:val="00F53A11"/>
    <w:rsid w:val="00F55344"/>
    <w:rsid w:val="00F55C91"/>
    <w:rsid w:val="00F61A9F"/>
    <w:rsid w:val="00F625F3"/>
    <w:rsid w:val="00F626AC"/>
    <w:rsid w:val="00F62812"/>
    <w:rsid w:val="00F634DE"/>
    <w:rsid w:val="00F63601"/>
    <w:rsid w:val="00F65F62"/>
    <w:rsid w:val="00F67CC6"/>
    <w:rsid w:val="00F71514"/>
    <w:rsid w:val="00F71DD4"/>
    <w:rsid w:val="00F7264D"/>
    <w:rsid w:val="00F74231"/>
    <w:rsid w:val="00F74740"/>
    <w:rsid w:val="00F74859"/>
    <w:rsid w:val="00F76900"/>
    <w:rsid w:val="00F77F41"/>
    <w:rsid w:val="00F805C6"/>
    <w:rsid w:val="00F8068C"/>
    <w:rsid w:val="00F80EA7"/>
    <w:rsid w:val="00F81917"/>
    <w:rsid w:val="00F847A1"/>
    <w:rsid w:val="00F84FDD"/>
    <w:rsid w:val="00F8551A"/>
    <w:rsid w:val="00F8683F"/>
    <w:rsid w:val="00F87855"/>
    <w:rsid w:val="00F91592"/>
    <w:rsid w:val="00F9227F"/>
    <w:rsid w:val="00F93580"/>
    <w:rsid w:val="00F939CF"/>
    <w:rsid w:val="00FA0DC7"/>
    <w:rsid w:val="00FA0DEA"/>
    <w:rsid w:val="00FA0EC8"/>
    <w:rsid w:val="00FA2E19"/>
    <w:rsid w:val="00FA565A"/>
    <w:rsid w:val="00FA5E6B"/>
    <w:rsid w:val="00FB0478"/>
    <w:rsid w:val="00FB0CA6"/>
    <w:rsid w:val="00FB2CFB"/>
    <w:rsid w:val="00FB3DFE"/>
    <w:rsid w:val="00FB3EEE"/>
    <w:rsid w:val="00FB5763"/>
    <w:rsid w:val="00FC03EE"/>
    <w:rsid w:val="00FC1F07"/>
    <w:rsid w:val="00FC3033"/>
    <w:rsid w:val="00FC37B3"/>
    <w:rsid w:val="00FC4F85"/>
    <w:rsid w:val="00FC560A"/>
    <w:rsid w:val="00FC710E"/>
    <w:rsid w:val="00FC7EAA"/>
    <w:rsid w:val="00FD383C"/>
    <w:rsid w:val="00FD38E2"/>
    <w:rsid w:val="00FD4571"/>
    <w:rsid w:val="00FD52DD"/>
    <w:rsid w:val="00FD6AF5"/>
    <w:rsid w:val="00FD7B2D"/>
    <w:rsid w:val="00FE3A03"/>
    <w:rsid w:val="00FE416A"/>
    <w:rsid w:val="00FE4F9D"/>
    <w:rsid w:val="00FE5CBE"/>
    <w:rsid w:val="00FE78AA"/>
    <w:rsid w:val="00FF006A"/>
    <w:rsid w:val="00FF39D6"/>
    <w:rsid w:val="00FF478E"/>
    <w:rsid w:val="00FF656B"/>
    <w:rsid w:val="00FF731B"/>
    <w:rsid w:val="0262697E"/>
    <w:rsid w:val="02B93560"/>
    <w:rsid w:val="031E27D7"/>
    <w:rsid w:val="044E63BA"/>
    <w:rsid w:val="047047B5"/>
    <w:rsid w:val="04743B5B"/>
    <w:rsid w:val="04CD0AF0"/>
    <w:rsid w:val="05776166"/>
    <w:rsid w:val="05D71422"/>
    <w:rsid w:val="05E25CD6"/>
    <w:rsid w:val="063A69BF"/>
    <w:rsid w:val="07147C6E"/>
    <w:rsid w:val="077200F2"/>
    <w:rsid w:val="07CC09EB"/>
    <w:rsid w:val="08885660"/>
    <w:rsid w:val="089B6610"/>
    <w:rsid w:val="08C43072"/>
    <w:rsid w:val="090565F2"/>
    <w:rsid w:val="09164F65"/>
    <w:rsid w:val="092E246D"/>
    <w:rsid w:val="09954F75"/>
    <w:rsid w:val="0A582E2D"/>
    <w:rsid w:val="0AAE1891"/>
    <w:rsid w:val="0B4917F9"/>
    <w:rsid w:val="0BD04822"/>
    <w:rsid w:val="0C177116"/>
    <w:rsid w:val="0C4C1587"/>
    <w:rsid w:val="0C8E26F2"/>
    <w:rsid w:val="0CF555E8"/>
    <w:rsid w:val="0E0F11E2"/>
    <w:rsid w:val="0E357BB6"/>
    <w:rsid w:val="0E73332C"/>
    <w:rsid w:val="10C9778A"/>
    <w:rsid w:val="118811F9"/>
    <w:rsid w:val="11F26852"/>
    <w:rsid w:val="13B10770"/>
    <w:rsid w:val="1470712C"/>
    <w:rsid w:val="14A04C6E"/>
    <w:rsid w:val="15207BD4"/>
    <w:rsid w:val="15AD5AC3"/>
    <w:rsid w:val="15F01D32"/>
    <w:rsid w:val="160A46AD"/>
    <w:rsid w:val="16535B53"/>
    <w:rsid w:val="16BD5885"/>
    <w:rsid w:val="17D67A0B"/>
    <w:rsid w:val="185254F4"/>
    <w:rsid w:val="188117D0"/>
    <w:rsid w:val="18DF3416"/>
    <w:rsid w:val="199D2B80"/>
    <w:rsid w:val="1A312930"/>
    <w:rsid w:val="1A60753E"/>
    <w:rsid w:val="1AD428F6"/>
    <w:rsid w:val="1B230C79"/>
    <w:rsid w:val="1B3258D5"/>
    <w:rsid w:val="1B4C2D9D"/>
    <w:rsid w:val="1BA438A0"/>
    <w:rsid w:val="1BCA42BB"/>
    <w:rsid w:val="1BCC1384"/>
    <w:rsid w:val="1C844D19"/>
    <w:rsid w:val="1CA67FB4"/>
    <w:rsid w:val="1D106186"/>
    <w:rsid w:val="1D373FF2"/>
    <w:rsid w:val="1DD6346E"/>
    <w:rsid w:val="1E7612C2"/>
    <w:rsid w:val="1EBB47DD"/>
    <w:rsid w:val="1F4608E5"/>
    <w:rsid w:val="1F5017FD"/>
    <w:rsid w:val="1F681363"/>
    <w:rsid w:val="220F3D84"/>
    <w:rsid w:val="225134EF"/>
    <w:rsid w:val="22B412ED"/>
    <w:rsid w:val="22F27E51"/>
    <w:rsid w:val="240451D5"/>
    <w:rsid w:val="24611A69"/>
    <w:rsid w:val="249211BB"/>
    <w:rsid w:val="24FE78B3"/>
    <w:rsid w:val="25747800"/>
    <w:rsid w:val="257E7399"/>
    <w:rsid w:val="259328CD"/>
    <w:rsid w:val="259F6853"/>
    <w:rsid w:val="26012312"/>
    <w:rsid w:val="26421CDC"/>
    <w:rsid w:val="265D51C9"/>
    <w:rsid w:val="268073F8"/>
    <w:rsid w:val="275806FD"/>
    <w:rsid w:val="276A162C"/>
    <w:rsid w:val="27E207DA"/>
    <w:rsid w:val="27E4600E"/>
    <w:rsid w:val="28CA669F"/>
    <w:rsid w:val="28DB0637"/>
    <w:rsid w:val="28F94EF0"/>
    <w:rsid w:val="2A782701"/>
    <w:rsid w:val="2AA63964"/>
    <w:rsid w:val="2ADA6394"/>
    <w:rsid w:val="2AE124E4"/>
    <w:rsid w:val="2B9105B7"/>
    <w:rsid w:val="2BC4528D"/>
    <w:rsid w:val="2C193B70"/>
    <w:rsid w:val="2C39689D"/>
    <w:rsid w:val="2C6C6FB0"/>
    <w:rsid w:val="2C960EE7"/>
    <w:rsid w:val="2D61157B"/>
    <w:rsid w:val="2E542F89"/>
    <w:rsid w:val="2E6B25DF"/>
    <w:rsid w:val="2EB25A57"/>
    <w:rsid w:val="2F4E28FD"/>
    <w:rsid w:val="302518E1"/>
    <w:rsid w:val="30521B94"/>
    <w:rsid w:val="30A6777C"/>
    <w:rsid w:val="31BA266A"/>
    <w:rsid w:val="32081F0F"/>
    <w:rsid w:val="333A1B4C"/>
    <w:rsid w:val="341B3F21"/>
    <w:rsid w:val="34823EFC"/>
    <w:rsid w:val="35963F46"/>
    <w:rsid w:val="35B17251"/>
    <w:rsid w:val="35DB210C"/>
    <w:rsid w:val="36A858D0"/>
    <w:rsid w:val="3730752B"/>
    <w:rsid w:val="37A12935"/>
    <w:rsid w:val="37D4566A"/>
    <w:rsid w:val="38680360"/>
    <w:rsid w:val="395052F1"/>
    <w:rsid w:val="39EF3CEB"/>
    <w:rsid w:val="3A893925"/>
    <w:rsid w:val="3AFF545B"/>
    <w:rsid w:val="3B22487A"/>
    <w:rsid w:val="3B5C747A"/>
    <w:rsid w:val="3BF524DC"/>
    <w:rsid w:val="3C177780"/>
    <w:rsid w:val="3C720929"/>
    <w:rsid w:val="3D4A3425"/>
    <w:rsid w:val="3DB152CD"/>
    <w:rsid w:val="3E153CD4"/>
    <w:rsid w:val="3E9F6779"/>
    <w:rsid w:val="4096664B"/>
    <w:rsid w:val="40AA0B27"/>
    <w:rsid w:val="40DA0D7C"/>
    <w:rsid w:val="40E47FF7"/>
    <w:rsid w:val="40F269F9"/>
    <w:rsid w:val="41266AAC"/>
    <w:rsid w:val="42AA7995"/>
    <w:rsid w:val="432C2862"/>
    <w:rsid w:val="441544B7"/>
    <w:rsid w:val="442D7D62"/>
    <w:rsid w:val="44654737"/>
    <w:rsid w:val="448D672F"/>
    <w:rsid w:val="44C53E2A"/>
    <w:rsid w:val="451533BF"/>
    <w:rsid w:val="452106AF"/>
    <w:rsid w:val="452E5388"/>
    <w:rsid w:val="45B915C8"/>
    <w:rsid w:val="45E3416F"/>
    <w:rsid w:val="46954266"/>
    <w:rsid w:val="46E02CE7"/>
    <w:rsid w:val="472A78F8"/>
    <w:rsid w:val="47906684"/>
    <w:rsid w:val="47A10846"/>
    <w:rsid w:val="47EC7561"/>
    <w:rsid w:val="48090505"/>
    <w:rsid w:val="49092A56"/>
    <w:rsid w:val="4A1D4C61"/>
    <w:rsid w:val="4AA46683"/>
    <w:rsid w:val="4AAA3AA7"/>
    <w:rsid w:val="4AB410FF"/>
    <w:rsid w:val="4AC76815"/>
    <w:rsid w:val="4AD579E5"/>
    <w:rsid w:val="4B041D1F"/>
    <w:rsid w:val="4B0A392B"/>
    <w:rsid w:val="4BD926D1"/>
    <w:rsid w:val="4CD62CB4"/>
    <w:rsid w:val="4D2D1B07"/>
    <w:rsid w:val="4D341608"/>
    <w:rsid w:val="4D784C63"/>
    <w:rsid w:val="4F112F53"/>
    <w:rsid w:val="4F18335A"/>
    <w:rsid w:val="4F526DD2"/>
    <w:rsid w:val="4F7C44EE"/>
    <w:rsid w:val="4FE125D0"/>
    <w:rsid w:val="5019375D"/>
    <w:rsid w:val="501C1F88"/>
    <w:rsid w:val="503404A9"/>
    <w:rsid w:val="5075395E"/>
    <w:rsid w:val="514069D9"/>
    <w:rsid w:val="51600E2A"/>
    <w:rsid w:val="51B427D0"/>
    <w:rsid w:val="526851D4"/>
    <w:rsid w:val="52896EB3"/>
    <w:rsid w:val="52926770"/>
    <w:rsid w:val="52DE767F"/>
    <w:rsid w:val="53DB70A6"/>
    <w:rsid w:val="55A12C0D"/>
    <w:rsid w:val="55F46A4D"/>
    <w:rsid w:val="56376A81"/>
    <w:rsid w:val="564053DE"/>
    <w:rsid w:val="56DA359B"/>
    <w:rsid w:val="57FC4BA5"/>
    <w:rsid w:val="583C0596"/>
    <w:rsid w:val="585858CA"/>
    <w:rsid w:val="58B45AB0"/>
    <w:rsid w:val="58D83004"/>
    <w:rsid w:val="59263DA9"/>
    <w:rsid w:val="59314E9C"/>
    <w:rsid w:val="59447883"/>
    <w:rsid w:val="5A0443ED"/>
    <w:rsid w:val="5A2867E7"/>
    <w:rsid w:val="5AA24A88"/>
    <w:rsid w:val="5B1C7E9E"/>
    <w:rsid w:val="5BA2544E"/>
    <w:rsid w:val="5C200AE1"/>
    <w:rsid w:val="5C9F6BCD"/>
    <w:rsid w:val="5D186267"/>
    <w:rsid w:val="5DA150D8"/>
    <w:rsid w:val="5E757960"/>
    <w:rsid w:val="5E907E2E"/>
    <w:rsid w:val="5F916390"/>
    <w:rsid w:val="5FA14063"/>
    <w:rsid w:val="5FD2386E"/>
    <w:rsid w:val="60257F56"/>
    <w:rsid w:val="60F94508"/>
    <w:rsid w:val="61566D7A"/>
    <w:rsid w:val="61B064DF"/>
    <w:rsid w:val="62126AC7"/>
    <w:rsid w:val="62DF6047"/>
    <w:rsid w:val="633050DB"/>
    <w:rsid w:val="63B270E9"/>
    <w:rsid w:val="63C70D59"/>
    <w:rsid w:val="645C1B7B"/>
    <w:rsid w:val="65034088"/>
    <w:rsid w:val="652803F2"/>
    <w:rsid w:val="65CC51AD"/>
    <w:rsid w:val="65D17404"/>
    <w:rsid w:val="65EF3ED6"/>
    <w:rsid w:val="66BF7A8A"/>
    <w:rsid w:val="66F70052"/>
    <w:rsid w:val="675B443C"/>
    <w:rsid w:val="67E72403"/>
    <w:rsid w:val="67FE5C9A"/>
    <w:rsid w:val="68313884"/>
    <w:rsid w:val="684D1DC5"/>
    <w:rsid w:val="68BF2290"/>
    <w:rsid w:val="69161B22"/>
    <w:rsid w:val="69B10475"/>
    <w:rsid w:val="6A684418"/>
    <w:rsid w:val="6A91767A"/>
    <w:rsid w:val="6AD31D71"/>
    <w:rsid w:val="6C402E25"/>
    <w:rsid w:val="6CA16A6E"/>
    <w:rsid w:val="6CFF5543"/>
    <w:rsid w:val="6D14438B"/>
    <w:rsid w:val="6D1B6EC4"/>
    <w:rsid w:val="6D5A0BB0"/>
    <w:rsid w:val="6EAF3578"/>
    <w:rsid w:val="6F3766F3"/>
    <w:rsid w:val="70AE736D"/>
    <w:rsid w:val="71C65DC8"/>
    <w:rsid w:val="71DB16B0"/>
    <w:rsid w:val="71F86972"/>
    <w:rsid w:val="72266A01"/>
    <w:rsid w:val="72871C1F"/>
    <w:rsid w:val="72B906DA"/>
    <w:rsid w:val="73060CC5"/>
    <w:rsid w:val="73384C88"/>
    <w:rsid w:val="73D34AD7"/>
    <w:rsid w:val="752E5936"/>
    <w:rsid w:val="756A02CF"/>
    <w:rsid w:val="75B61948"/>
    <w:rsid w:val="75B67C81"/>
    <w:rsid w:val="75BF5EE3"/>
    <w:rsid w:val="764B5D1F"/>
    <w:rsid w:val="77417079"/>
    <w:rsid w:val="77965D3E"/>
    <w:rsid w:val="77F50740"/>
    <w:rsid w:val="783365AA"/>
    <w:rsid w:val="79522D83"/>
    <w:rsid w:val="79AD7907"/>
    <w:rsid w:val="7AAD5E22"/>
    <w:rsid w:val="7B7957E5"/>
    <w:rsid w:val="7BCA229A"/>
    <w:rsid w:val="7C1B55A5"/>
    <w:rsid w:val="7CE27461"/>
    <w:rsid w:val="7D746A6A"/>
    <w:rsid w:val="7E8930DE"/>
    <w:rsid w:val="7E8A581D"/>
    <w:rsid w:val="7EBC6490"/>
    <w:rsid w:val="7ED44918"/>
    <w:rsid w:val="7F7514B5"/>
    <w:rsid w:val="EBFFE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line="500" w:lineRule="exact"/>
      <w:ind w:firstLine="200" w:firstLineChars="200"/>
      <w:jc w:val="both"/>
    </w:pPr>
    <w:rPr>
      <w:rFonts w:ascii="宋体" w:hAnsi="宋体" w:eastAsia="宋体" w:cs="宋体"/>
      <w:sz w:val="28"/>
      <w:szCs w:val="22"/>
      <w:lang w:val="en-US" w:eastAsia="en-US" w:bidi="ar-SA"/>
    </w:rPr>
  </w:style>
  <w:style w:type="paragraph" w:styleId="3">
    <w:name w:val="heading 1"/>
    <w:basedOn w:val="1"/>
    <w:next w:val="1"/>
    <w:link w:val="36"/>
    <w:qFormat/>
    <w:uiPriority w:val="9"/>
    <w:pPr>
      <w:keepNext/>
      <w:keepLines/>
      <w:numPr>
        <w:ilvl w:val="0"/>
        <w:numId w:val="1"/>
      </w:numPr>
      <w:spacing w:line="560" w:lineRule="exact"/>
      <w:ind w:left="0" w:firstLine="0" w:firstLineChars="0"/>
      <w:outlineLvl w:val="0"/>
    </w:pPr>
    <w:rPr>
      <w:rFonts w:ascii="Times New Roman" w:hAnsi="Times New Roman" w:eastAsia="黑体"/>
      <w:bCs/>
      <w:color w:val="000000" w:themeColor="text1"/>
      <w:kern w:val="44"/>
      <w:sz w:val="32"/>
      <w:szCs w:val="44"/>
      <w:lang w:eastAsia="zh-CN"/>
      <w14:textFill>
        <w14:solidFill>
          <w14:schemeClr w14:val="tx1"/>
        </w14:solidFill>
      </w14:textFill>
    </w:rPr>
  </w:style>
  <w:style w:type="paragraph" w:styleId="4">
    <w:name w:val="heading 2"/>
    <w:basedOn w:val="1"/>
    <w:next w:val="1"/>
    <w:link w:val="37"/>
    <w:unhideWhenUsed/>
    <w:qFormat/>
    <w:uiPriority w:val="9"/>
    <w:pPr>
      <w:keepNext/>
      <w:keepLines/>
      <w:numPr>
        <w:ilvl w:val="1"/>
        <w:numId w:val="1"/>
      </w:numPr>
      <w:spacing w:line="560" w:lineRule="exact"/>
      <w:ind w:left="0" w:firstLine="0" w:firstLineChars="0"/>
      <w:outlineLvl w:val="1"/>
    </w:pPr>
    <w:rPr>
      <w:rFonts w:ascii="Times New Roman" w:hAnsi="Times New Roman" w:eastAsia="楷体" w:cstheme="majorBidi"/>
      <w:bCs/>
      <w:color w:val="000000" w:themeColor="text1"/>
      <w:sz w:val="32"/>
      <w:szCs w:val="44"/>
      <w:lang w:eastAsia="zh-CN"/>
      <w14:textFill>
        <w14:solidFill>
          <w14:schemeClr w14:val="tx1"/>
        </w14:solidFill>
      </w14:textFill>
    </w:rPr>
  </w:style>
  <w:style w:type="paragraph" w:styleId="5">
    <w:name w:val="heading 3"/>
    <w:basedOn w:val="1"/>
    <w:next w:val="1"/>
    <w:link w:val="45"/>
    <w:unhideWhenUsed/>
    <w:qFormat/>
    <w:uiPriority w:val="9"/>
    <w:pPr>
      <w:keepNext/>
      <w:keepLines/>
      <w:numPr>
        <w:ilvl w:val="2"/>
        <w:numId w:val="1"/>
      </w:numPr>
      <w:spacing w:line="560" w:lineRule="exact"/>
      <w:ind w:left="0" w:firstLine="0" w:firstLineChars="0"/>
      <w:outlineLvl w:val="2"/>
    </w:pPr>
    <w:rPr>
      <w:rFonts w:ascii="Times New Roman" w:hAnsi="Times New Roman" w:eastAsia="仿宋" w:cs="Times New Roman"/>
      <w:bCs/>
      <w:color w:val="000000" w:themeColor="text1"/>
      <w:sz w:val="32"/>
      <w:szCs w:val="28"/>
      <w:lang w:eastAsia="zh-CN"/>
      <w14:textFill>
        <w14:solidFill>
          <w14:schemeClr w14:val="tx1"/>
        </w14:solidFill>
      </w14:textFill>
    </w:rPr>
  </w:style>
  <w:style w:type="paragraph" w:styleId="6">
    <w:name w:val="heading 4"/>
    <w:basedOn w:val="1"/>
    <w:next w:val="1"/>
    <w:link w:val="62"/>
    <w:unhideWhenUsed/>
    <w:qFormat/>
    <w:uiPriority w:val="9"/>
    <w:pPr>
      <w:keepNext/>
      <w:keepLines/>
      <w:numPr>
        <w:ilvl w:val="3"/>
        <w:numId w:val="1"/>
      </w:numPr>
      <w:spacing w:line="560" w:lineRule="exact"/>
      <w:ind w:left="0" w:firstLine="0" w:firstLineChars="0"/>
      <w:outlineLvl w:val="3"/>
    </w:pPr>
    <w:rPr>
      <w:rFonts w:ascii="Times New Roman" w:hAnsi="Times New Roman" w:eastAsia="仿宋" w:cstheme="majorBidi"/>
      <w:bCs/>
      <w:sz w:val="32"/>
      <w:szCs w:val="28"/>
    </w:rPr>
  </w:style>
  <w:style w:type="paragraph" w:styleId="7">
    <w:name w:val="heading 5"/>
    <w:basedOn w:val="1"/>
    <w:next w:val="1"/>
    <w:link w:val="63"/>
    <w:semiHidden/>
    <w:unhideWhenUsed/>
    <w:qFormat/>
    <w:uiPriority w:val="9"/>
    <w:pPr>
      <w:keepNext/>
      <w:keepLines/>
      <w:numPr>
        <w:ilvl w:val="4"/>
        <w:numId w:val="1"/>
      </w:numPr>
      <w:spacing w:before="280" w:after="290" w:line="376" w:lineRule="auto"/>
      <w:ind w:firstLine="0" w:firstLineChars="0"/>
      <w:outlineLvl w:val="4"/>
    </w:pPr>
    <w:rPr>
      <w:b/>
      <w:bCs/>
      <w:szCs w:val="28"/>
    </w:rPr>
  </w:style>
  <w:style w:type="paragraph" w:styleId="8">
    <w:name w:val="heading 6"/>
    <w:basedOn w:val="1"/>
    <w:next w:val="1"/>
    <w:link w:val="64"/>
    <w:semiHidden/>
    <w:unhideWhenUsed/>
    <w:qFormat/>
    <w:uiPriority w:val="9"/>
    <w:pPr>
      <w:keepNext/>
      <w:keepLines/>
      <w:numPr>
        <w:ilvl w:val="5"/>
        <w:numId w:val="1"/>
      </w:numPr>
      <w:spacing w:before="240" w:after="64" w:line="320" w:lineRule="auto"/>
      <w:ind w:firstLine="0" w:firstLineChars="0"/>
      <w:outlineLvl w:val="5"/>
    </w:pPr>
    <w:rPr>
      <w:rFonts w:asciiTheme="majorHAnsi" w:hAnsiTheme="majorHAnsi" w:eastAsiaTheme="majorEastAsia" w:cstheme="majorBidi"/>
      <w:b/>
      <w:bCs/>
      <w:sz w:val="24"/>
      <w:szCs w:val="24"/>
    </w:rPr>
  </w:style>
  <w:style w:type="paragraph" w:styleId="9">
    <w:name w:val="heading 7"/>
    <w:basedOn w:val="1"/>
    <w:next w:val="1"/>
    <w:link w:val="65"/>
    <w:semiHidden/>
    <w:unhideWhenUsed/>
    <w:qFormat/>
    <w:uiPriority w:val="9"/>
    <w:pPr>
      <w:keepNext/>
      <w:keepLines/>
      <w:numPr>
        <w:ilvl w:val="6"/>
        <w:numId w:val="1"/>
      </w:numPr>
      <w:spacing w:before="240" w:after="64" w:line="320" w:lineRule="auto"/>
      <w:ind w:firstLine="0" w:firstLineChars="0"/>
      <w:outlineLvl w:val="6"/>
    </w:pPr>
    <w:rPr>
      <w:b/>
      <w:bCs/>
      <w:sz w:val="24"/>
      <w:szCs w:val="24"/>
    </w:rPr>
  </w:style>
  <w:style w:type="paragraph" w:styleId="10">
    <w:name w:val="heading 8"/>
    <w:basedOn w:val="1"/>
    <w:next w:val="1"/>
    <w:link w:val="66"/>
    <w:semiHidden/>
    <w:unhideWhenUsed/>
    <w:qFormat/>
    <w:uiPriority w:val="9"/>
    <w:pPr>
      <w:keepNext/>
      <w:keepLines/>
      <w:numPr>
        <w:ilvl w:val="7"/>
        <w:numId w:val="1"/>
      </w:numPr>
      <w:spacing w:before="240" w:after="64" w:line="320" w:lineRule="auto"/>
      <w:ind w:firstLine="0" w:firstLineChars="0"/>
      <w:outlineLvl w:val="7"/>
    </w:pPr>
    <w:rPr>
      <w:rFonts w:asciiTheme="majorHAnsi" w:hAnsiTheme="majorHAnsi" w:eastAsiaTheme="majorEastAsia" w:cstheme="majorBidi"/>
      <w:sz w:val="24"/>
      <w:szCs w:val="24"/>
    </w:rPr>
  </w:style>
  <w:style w:type="paragraph" w:styleId="11">
    <w:name w:val="heading 9"/>
    <w:basedOn w:val="1"/>
    <w:next w:val="1"/>
    <w:link w:val="67"/>
    <w:semiHidden/>
    <w:unhideWhenUsed/>
    <w:qFormat/>
    <w:uiPriority w:val="9"/>
    <w:pPr>
      <w:keepNext/>
      <w:keepLines/>
      <w:numPr>
        <w:ilvl w:val="8"/>
        <w:numId w:val="1"/>
      </w:numPr>
      <w:spacing w:before="240" w:after="64" w:line="320" w:lineRule="auto"/>
      <w:ind w:firstLine="0" w:firstLineChars="0"/>
      <w:outlineLvl w:val="8"/>
    </w:pPr>
    <w:rPr>
      <w:rFonts w:asciiTheme="majorHAnsi" w:hAnsiTheme="majorHAnsi" w:eastAsiaTheme="majorEastAsia" w:cstheme="majorBidi"/>
      <w:sz w:val="21"/>
      <w:szCs w:val="21"/>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jc w:val="left"/>
    </w:pPr>
    <w:rPr>
      <w:rFonts w:ascii="宋体" w:hAnsi="Calibri"/>
      <w:color w:val="000000"/>
      <w:kern w:val="0"/>
      <w:sz w:val="24"/>
      <w:szCs w:val="24"/>
    </w:rPr>
  </w:style>
  <w:style w:type="paragraph" w:styleId="12">
    <w:name w:val="toc 7"/>
    <w:basedOn w:val="1"/>
    <w:next w:val="1"/>
    <w:unhideWhenUsed/>
    <w:qFormat/>
    <w:uiPriority w:val="39"/>
    <w:pPr>
      <w:autoSpaceDE/>
      <w:autoSpaceDN/>
      <w:spacing w:line="240" w:lineRule="auto"/>
      <w:ind w:left="2520" w:leftChars="1200" w:firstLine="0" w:firstLineChars="0"/>
    </w:pPr>
    <w:rPr>
      <w:rFonts w:asciiTheme="minorHAnsi" w:hAnsiTheme="minorHAnsi" w:eastAsiaTheme="minorEastAsia" w:cstheme="minorBidi"/>
      <w:kern w:val="2"/>
      <w:sz w:val="21"/>
      <w:lang w:eastAsia="zh-CN"/>
      <w14:ligatures w14:val="standardContextual"/>
    </w:rPr>
  </w:style>
  <w:style w:type="paragraph" w:styleId="13">
    <w:name w:val="caption"/>
    <w:basedOn w:val="1"/>
    <w:next w:val="1"/>
    <w:unhideWhenUsed/>
    <w:qFormat/>
    <w:uiPriority w:val="35"/>
    <w:rPr>
      <w:rFonts w:ascii="Arial" w:hAnsi="Arial" w:eastAsia="黑体"/>
      <w:sz w:val="20"/>
    </w:rPr>
  </w:style>
  <w:style w:type="paragraph" w:styleId="14">
    <w:name w:val="annotation text"/>
    <w:basedOn w:val="1"/>
    <w:link w:val="56"/>
    <w:semiHidden/>
    <w:unhideWhenUsed/>
    <w:qFormat/>
    <w:uiPriority w:val="99"/>
  </w:style>
  <w:style w:type="paragraph" w:styleId="15">
    <w:name w:val="Body Text"/>
    <w:basedOn w:val="1"/>
    <w:link w:val="35"/>
    <w:qFormat/>
    <w:uiPriority w:val="1"/>
    <w:rPr>
      <w:szCs w:val="24"/>
    </w:rPr>
  </w:style>
  <w:style w:type="paragraph" w:styleId="16">
    <w:name w:val="toc 5"/>
    <w:basedOn w:val="1"/>
    <w:next w:val="1"/>
    <w:unhideWhenUsed/>
    <w:qFormat/>
    <w:uiPriority w:val="39"/>
    <w:pPr>
      <w:autoSpaceDE/>
      <w:autoSpaceDN/>
      <w:spacing w:line="240" w:lineRule="auto"/>
      <w:ind w:left="1680" w:leftChars="800" w:firstLine="0" w:firstLineChars="0"/>
    </w:pPr>
    <w:rPr>
      <w:rFonts w:asciiTheme="minorHAnsi" w:hAnsiTheme="minorHAnsi" w:eastAsiaTheme="minorEastAsia" w:cstheme="minorBidi"/>
      <w:kern w:val="2"/>
      <w:sz w:val="21"/>
      <w:lang w:eastAsia="zh-CN"/>
      <w14:ligatures w14:val="standardContextual"/>
    </w:rPr>
  </w:style>
  <w:style w:type="paragraph" w:styleId="17">
    <w:name w:val="toc 3"/>
    <w:basedOn w:val="1"/>
    <w:next w:val="1"/>
    <w:unhideWhenUsed/>
    <w:qFormat/>
    <w:uiPriority w:val="39"/>
    <w:pPr>
      <w:ind w:left="840" w:leftChars="400"/>
    </w:pPr>
  </w:style>
  <w:style w:type="paragraph" w:styleId="18">
    <w:name w:val="toc 8"/>
    <w:basedOn w:val="1"/>
    <w:next w:val="1"/>
    <w:unhideWhenUsed/>
    <w:qFormat/>
    <w:uiPriority w:val="39"/>
    <w:pPr>
      <w:autoSpaceDE/>
      <w:autoSpaceDN/>
      <w:spacing w:line="240" w:lineRule="auto"/>
      <w:ind w:left="2940" w:leftChars="1400" w:firstLine="0" w:firstLineChars="0"/>
    </w:pPr>
    <w:rPr>
      <w:rFonts w:asciiTheme="minorHAnsi" w:hAnsiTheme="minorHAnsi" w:eastAsiaTheme="minorEastAsia" w:cstheme="minorBidi"/>
      <w:kern w:val="2"/>
      <w:sz w:val="21"/>
      <w:lang w:eastAsia="zh-CN"/>
      <w14:ligatures w14:val="standardContextual"/>
    </w:rPr>
  </w:style>
  <w:style w:type="paragraph" w:styleId="19">
    <w:name w:val="Balloon Text"/>
    <w:basedOn w:val="1"/>
    <w:link w:val="38"/>
    <w:semiHidden/>
    <w:unhideWhenUsed/>
    <w:qFormat/>
    <w:uiPriority w:val="99"/>
    <w:rPr>
      <w:sz w:val="18"/>
      <w:szCs w:val="18"/>
    </w:rPr>
  </w:style>
  <w:style w:type="paragraph" w:styleId="20">
    <w:name w:val="footer"/>
    <w:basedOn w:val="1"/>
    <w:link w:val="42"/>
    <w:unhideWhenUsed/>
    <w:qFormat/>
    <w:uiPriority w:val="99"/>
    <w:pPr>
      <w:tabs>
        <w:tab w:val="center" w:pos="4153"/>
        <w:tab w:val="right" w:pos="8306"/>
      </w:tabs>
      <w:snapToGrid w:val="0"/>
      <w:spacing w:line="240" w:lineRule="auto"/>
    </w:pPr>
    <w:rPr>
      <w:sz w:val="18"/>
      <w:szCs w:val="18"/>
    </w:rPr>
  </w:style>
  <w:style w:type="paragraph" w:styleId="21">
    <w:name w:val="header"/>
    <w:basedOn w:val="1"/>
    <w:link w:val="41"/>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22">
    <w:name w:val="toc 1"/>
    <w:basedOn w:val="1"/>
    <w:next w:val="1"/>
    <w:unhideWhenUsed/>
    <w:qFormat/>
    <w:uiPriority w:val="39"/>
    <w:pPr>
      <w:spacing w:line="288" w:lineRule="auto"/>
    </w:pPr>
    <w:rPr>
      <w:rFonts w:ascii="Times New Roman" w:hAnsi="Times New Roman" w:eastAsia="黑体"/>
    </w:rPr>
  </w:style>
  <w:style w:type="paragraph" w:styleId="23">
    <w:name w:val="toc 4"/>
    <w:basedOn w:val="1"/>
    <w:next w:val="1"/>
    <w:unhideWhenUsed/>
    <w:qFormat/>
    <w:uiPriority w:val="39"/>
    <w:pPr>
      <w:autoSpaceDE/>
      <w:autoSpaceDN/>
      <w:spacing w:line="240" w:lineRule="auto"/>
      <w:ind w:left="1260" w:leftChars="600" w:firstLine="0" w:firstLineChars="0"/>
    </w:pPr>
    <w:rPr>
      <w:rFonts w:asciiTheme="minorHAnsi" w:hAnsiTheme="minorHAnsi" w:eastAsiaTheme="minorEastAsia" w:cstheme="minorBidi"/>
      <w:kern w:val="2"/>
      <w:sz w:val="21"/>
      <w:lang w:eastAsia="zh-CN"/>
      <w14:ligatures w14:val="standardContextual"/>
    </w:rPr>
  </w:style>
  <w:style w:type="paragraph" w:styleId="24">
    <w:name w:val="toc 6"/>
    <w:basedOn w:val="1"/>
    <w:next w:val="1"/>
    <w:unhideWhenUsed/>
    <w:qFormat/>
    <w:uiPriority w:val="39"/>
    <w:pPr>
      <w:autoSpaceDE/>
      <w:autoSpaceDN/>
      <w:spacing w:line="240" w:lineRule="auto"/>
      <w:ind w:left="2100" w:leftChars="1000" w:firstLine="0" w:firstLineChars="0"/>
    </w:pPr>
    <w:rPr>
      <w:rFonts w:asciiTheme="minorHAnsi" w:hAnsiTheme="minorHAnsi" w:eastAsiaTheme="minorEastAsia" w:cstheme="minorBidi"/>
      <w:kern w:val="2"/>
      <w:sz w:val="21"/>
      <w:lang w:eastAsia="zh-CN"/>
      <w14:ligatures w14:val="standardContextual"/>
    </w:rPr>
  </w:style>
  <w:style w:type="paragraph" w:styleId="25">
    <w:name w:val="toc 2"/>
    <w:basedOn w:val="1"/>
    <w:next w:val="1"/>
    <w:unhideWhenUsed/>
    <w:qFormat/>
    <w:uiPriority w:val="39"/>
    <w:pPr>
      <w:spacing w:line="288" w:lineRule="auto"/>
      <w:ind w:left="200" w:leftChars="200"/>
    </w:pPr>
    <w:rPr>
      <w:rFonts w:ascii="Times New Roman" w:hAnsi="Times New Roman" w:eastAsia="楷体"/>
    </w:rPr>
  </w:style>
  <w:style w:type="paragraph" w:styleId="26">
    <w:name w:val="toc 9"/>
    <w:basedOn w:val="1"/>
    <w:next w:val="1"/>
    <w:unhideWhenUsed/>
    <w:qFormat/>
    <w:uiPriority w:val="39"/>
    <w:pPr>
      <w:autoSpaceDE/>
      <w:autoSpaceDN/>
      <w:spacing w:line="240" w:lineRule="auto"/>
      <w:ind w:left="3360" w:leftChars="1600" w:firstLine="0" w:firstLineChars="0"/>
    </w:pPr>
    <w:rPr>
      <w:rFonts w:asciiTheme="minorHAnsi" w:hAnsiTheme="minorHAnsi" w:eastAsiaTheme="minorEastAsia" w:cstheme="minorBidi"/>
      <w:kern w:val="2"/>
      <w:sz w:val="21"/>
      <w:lang w:eastAsia="zh-CN"/>
      <w14:ligatures w14:val="standardContextual"/>
    </w:rPr>
  </w:style>
  <w:style w:type="paragraph" w:styleId="27">
    <w:name w:val="Normal (Web)"/>
    <w:basedOn w:val="1"/>
    <w:unhideWhenUsed/>
    <w:qFormat/>
    <w:uiPriority w:val="0"/>
    <w:pPr>
      <w:widowControl/>
      <w:spacing w:before="100" w:beforeAutospacing="1" w:after="100" w:afterAutospacing="1"/>
    </w:pPr>
    <w:rPr>
      <w:szCs w:val="24"/>
    </w:rPr>
  </w:style>
  <w:style w:type="paragraph" w:styleId="28">
    <w:name w:val="Title"/>
    <w:basedOn w:val="1"/>
    <w:qFormat/>
    <w:uiPriority w:val="0"/>
    <w:pPr>
      <w:spacing w:line="560" w:lineRule="exact"/>
      <w:ind w:firstLine="880" w:firstLineChars="200"/>
      <w:jc w:val="both"/>
      <w:textAlignment w:val="baseline"/>
    </w:pPr>
    <w:rPr>
      <w:rFonts w:ascii="Arial" w:hAnsi="Arial" w:eastAsia="仿宋_GB2312"/>
      <w:kern w:val="2"/>
      <w:sz w:val="32"/>
      <w:szCs w:val="24"/>
      <w:lang w:val="en-US" w:eastAsia="zh-CN" w:bidi="ar-SA"/>
    </w:rPr>
  </w:style>
  <w:style w:type="paragraph" w:styleId="29">
    <w:name w:val="annotation subject"/>
    <w:basedOn w:val="14"/>
    <w:next w:val="14"/>
    <w:link w:val="57"/>
    <w:semiHidden/>
    <w:unhideWhenUsed/>
    <w:qFormat/>
    <w:uiPriority w:val="99"/>
    <w:rPr>
      <w:b/>
      <w:bCs/>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Hyperlink"/>
    <w:basedOn w:val="32"/>
    <w:unhideWhenUsed/>
    <w:qFormat/>
    <w:uiPriority w:val="99"/>
    <w:rPr>
      <w:color w:val="0563C1" w:themeColor="hyperlink"/>
      <w:u w:val="single"/>
      <w14:textFill>
        <w14:solidFill>
          <w14:schemeClr w14:val="hlink"/>
        </w14:solidFill>
      </w14:textFill>
    </w:rPr>
  </w:style>
  <w:style w:type="character" w:styleId="34">
    <w:name w:val="annotation reference"/>
    <w:basedOn w:val="32"/>
    <w:semiHidden/>
    <w:unhideWhenUsed/>
    <w:qFormat/>
    <w:uiPriority w:val="99"/>
    <w:rPr>
      <w:sz w:val="21"/>
      <w:szCs w:val="21"/>
    </w:rPr>
  </w:style>
  <w:style w:type="character" w:customStyle="1" w:styleId="35">
    <w:name w:val="正文文本 字符"/>
    <w:basedOn w:val="32"/>
    <w:link w:val="15"/>
    <w:qFormat/>
    <w:uiPriority w:val="1"/>
    <w:rPr>
      <w:rFonts w:ascii="宋体" w:hAnsi="宋体" w:eastAsia="宋体" w:cs="宋体"/>
      <w:kern w:val="0"/>
      <w:sz w:val="24"/>
      <w:szCs w:val="24"/>
      <w:lang w:eastAsia="en-US"/>
    </w:rPr>
  </w:style>
  <w:style w:type="character" w:customStyle="1" w:styleId="36">
    <w:name w:val="标题 1 字符"/>
    <w:basedOn w:val="32"/>
    <w:link w:val="3"/>
    <w:qFormat/>
    <w:uiPriority w:val="9"/>
    <w:rPr>
      <w:rFonts w:ascii="Times New Roman" w:hAnsi="Times New Roman" w:eastAsia="黑体" w:cs="宋体"/>
      <w:bCs/>
      <w:color w:val="000000" w:themeColor="text1"/>
      <w:kern w:val="44"/>
      <w:sz w:val="32"/>
      <w:szCs w:val="44"/>
      <w14:textFill>
        <w14:solidFill>
          <w14:schemeClr w14:val="tx1"/>
        </w14:solidFill>
      </w14:textFill>
    </w:rPr>
  </w:style>
  <w:style w:type="character" w:customStyle="1" w:styleId="37">
    <w:name w:val="标题 2 字符"/>
    <w:basedOn w:val="32"/>
    <w:link w:val="4"/>
    <w:qFormat/>
    <w:uiPriority w:val="9"/>
    <w:rPr>
      <w:rFonts w:ascii="Times New Roman" w:hAnsi="Times New Roman" w:eastAsia="楷体" w:cstheme="majorBidi"/>
      <w:bCs/>
      <w:color w:val="000000" w:themeColor="text1"/>
      <w:sz w:val="32"/>
      <w:szCs w:val="44"/>
      <w14:textFill>
        <w14:solidFill>
          <w14:schemeClr w14:val="tx1"/>
        </w14:solidFill>
      </w14:textFill>
    </w:rPr>
  </w:style>
  <w:style w:type="character" w:customStyle="1" w:styleId="38">
    <w:name w:val="批注框文本 字符"/>
    <w:basedOn w:val="32"/>
    <w:link w:val="19"/>
    <w:semiHidden/>
    <w:qFormat/>
    <w:uiPriority w:val="99"/>
    <w:rPr>
      <w:rFonts w:ascii="宋体" w:hAnsi="宋体" w:eastAsia="宋体" w:cs="宋体"/>
      <w:kern w:val="0"/>
      <w:sz w:val="18"/>
      <w:szCs w:val="18"/>
      <w:lang w:eastAsia="en-US"/>
    </w:rPr>
  </w:style>
  <w:style w:type="paragraph" w:styleId="39">
    <w:name w:val="List Paragraph"/>
    <w:basedOn w:val="1"/>
    <w:qFormat/>
    <w:uiPriority w:val="34"/>
    <w:pPr>
      <w:ind w:firstLine="420"/>
    </w:pPr>
  </w:style>
  <w:style w:type="paragraph" w:customStyle="1" w:styleId="40">
    <w:name w:val="TOC 标题1"/>
    <w:basedOn w:val="3"/>
    <w:next w:val="1"/>
    <w:unhideWhenUsed/>
    <w:qFormat/>
    <w:uiPriority w:val="39"/>
    <w:pPr>
      <w:widowControl/>
      <w:autoSpaceDE/>
      <w:autoSpaceDN/>
      <w:spacing w:before="240" w:line="259" w:lineRule="auto"/>
      <w:outlineLvl w:val="9"/>
    </w:pPr>
    <w:rPr>
      <w:rFonts w:asciiTheme="majorHAnsi" w:hAnsiTheme="majorHAnsi" w:eastAsiaTheme="majorEastAsia" w:cstheme="majorBidi"/>
      <w:b/>
      <w:bCs w:val="0"/>
      <w:color w:val="2E75B6" w:themeColor="accent1" w:themeShade="BF"/>
      <w:kern w:val="0"/>
      <w:szCs w:val="32"/>
    </w:rPr>
  </w:style>
  <w:style w:type="character" w:customStyle="1" w:styleId="41">
    <w:name w:val="页眉 字符"/>
    <w:basedOn w:val="32"/>
    <w:link w:val="21"/>
    <w:qFormat/>
    <w:uiPriority w:val="99"/>
    <w:rPr>
      <w:rFonts w:ascii="宋体" w:hAnsi="宋体" w:eastAsia="宋体" w:cs="宋体"/>
      <w:kern w:val="0"/>
      <w:sz w:val="18"/>
      <w:szCs w:val="18"/>
      <w:lang w:eastAsia="en-US"/>
    </w:rPr>
  </w:style>
  <w:style w:type="character" w:customStyle="1" w:styleId="42">
    <w:name w:val="页脚 字符"/>
    <w:basedOn w:val="32"/>
    <w:link w:val="20"/>
    <w:qFormat/>
    <w:uiPriority w:val="99"/>
    <w:rPr>
      <w:rFonts w:ascii="宋体" w:hAnsi="宋体" w:eastAsia="宋体" w:cs="宋体"/>
      <w:kern w:val="0"/>
      <w:sz w:val="18"/>
      <w:szCs w:val="18"/>
      <w:lang w:eastAsia="en-US"/>
    </w:rPr>
  </w:style>
  <w:style w:type="character" w:customStyle="1" w:styleId="43">
    <w:name w:val="font71"/>
    <w:basedOn w:val="32"/>
    <w:qFormat/>
    <w:uiPriority w:val="0"/>
    <w:rPr>
      <w:rFonts w:hint="eastAsia" w:ascii="宋体" w:hAnsi="宋体" w:eastAsia="宋体" w:cs="宋体"/>
      <w:color w:val="000000"/>
      <w:sz w:val="20"/>
      <w:szCs w:val="20"/>
      <w:u w:val="none"/>
    </w:rPr>
  </w:style>
  <w:style w:type="paragraph" w:customStyle="1" w:styleId="44">
    <w:name w:val="Table Paragraph"/>
    <w:basedOn w:val="1"/>
    <w:qFormat/>
    <w:uiPriority w:val="1"/>
    <w:rPr>
      <w:rFonts w:ascii="仿宋" w:hAnsi="仿宋" w:eastAsia="仿宋" w:cs="仿宋"/>
    </w:rPr>
  </w:style>
  <w:style w:type="character" w:customStyle="1" w:styleId="45">
    <w:name w:val="标题 3 字符"/>
    <w:basedOn w:val="32"/>
    <w:link w:val="5"/>
    <w:qFormat/>
    <w:uiPriority w:val="9"/>
    <w:rPr>
      <w:rFonts w:ascii="Times New Roman" w:hAnsi="Times New Roman" w:eastAsia="仿宋"/>
      <w:bCs/>
      <w:color w:val="000000" w:themeColor="text1"/>
      <w:sz w:val="32"/>
      <w:szCs w:val="28"/>
      <w14:textFill>
        <w14:solidFill>
          <w14:schemeClr w14:val="tx1"/>
        </w14:solidFill>
      </w14:textFill>
    </w:rPr>
  </w:style>
  <w:style w:type="character" w:customStyle="1" w:styleId="46">
    <w:name w:val="未处理的提及1"/>
    <w:basedOn w:val="32"/>
    <w:semiHidden/>
    <w:unhideWhenUsed/>
    <w:qFormat/>
    <w:uiPriority w:val="99"/>
    <w:rPr>
      <w:color w:val="605E5C"/>
      <w:shd w:val="clear" w:color="auto" w:fill="E1DFDD"/>
    </w:rPr>
  </w:style>
  <w:style w:type="paragraph" w:customStyle="1" w:styleId="47">
    <w:name w:val="修订1"/>
    <w:hidden/>
    <w:unhideWhenUsed/>
    <w:qFormat/>
    <w:uiPriority w:val="99"/>
    <w:rPr>
      <w:rFonts w:ascii="宋体" w:hAnsi="宋体" w:eastAsia="宋体" w:cs="宋体"/>
      <w:sz w:val="24"/>
      <w:szCs w:val="22"/>
      <w:lang w:val="en-US" w:eastAsia="en-US" w:bidi="ar-SA"/>
    </w:rPr>
  </w:style>
  <w:style w:type="paragraph" w:customStyle="1" w:styleId="48">
    <w:name w:val="正文1"/>
    <w:qFormat/>
    <w:uiPriority w:val="0"/>
    <w:pPr>
      <w:jc w:val="both"/>
    </w:pPr>
    <w:rPr>
      <w:rFonts w:ascii="Calibri" w:hAnsi="Calibri" w:eastAsia="宋体" w:cs="Calibri"/>
      <w:kern w:val="2"/>
      <w:sz w:val="21"/>
      <w:szCs w:val="21"/>
      <w:lang w:val="en-US" w:eastAsia="zh-CN" w:bidi="ar-SA"/>
    </w:rPr>
  </w:style>
  <w:style w:type="paragraph" w:customStyle="1" w:styleId="49">
    <w:name w:val="正文2"/>
    <w:qFormat/>
    <w:uiPriority w:val="0"/>
    <w:pPr>
      <w:jc w:val="both"/>
    </w:pPr>
    <w:rPr>
      <w:rFonts w:ascii="Calibri" w:hAnsi="Calibri" w:eastAsia="宋体" w:cs="Calibri"/>
      <w:kern w:val="2"/>
      <w:sz w:val="21"/>
      <w:szCs w:val="21"/>
      <w:lang w:val="en-US" w:eastAsia="zh-CN" w:bidi="ar-SA"/>
    </w:rPr>
  </w:style>
  <w:style w:type="character" w:customStyle="1" w:styleId="50">
    <w:name w:val="未处理的提及2"/>
    <w:basedOn w:val="32"/>
    <w:semiHidden/>
    <w:unhideWhenUsed/>
    <w:qFormat/>
    <w:uiPriority w:val="99"/>
    <w:rPr>
      <w:color w:val="605E5C"/>
      <w:shd w:val="clear" w:color="auto" w:fill="E1DFDD"/>
    </w:rPr>
  </w:style>
  <w:style w:type="paragraph" w:customStyle="1" w:styleId="51">
    <w:name w:val="修订2"/>
    <w:hidden/>
    <w:unhideWhenUsed/>
    <w:qFormat/>
    <w:uiPriority w:val="99"/>
    <w:rPr>
      <w:rFonts w:ascii="宋体" w:hAnsi="宋体" w:eastAsia="宋体" w:cs="宋体"/>
      <w:sz w:val="24"/>
      <w:szCs w:val="22"/>
      <w:lang w:val="en-US" w:eastAsia="en-US" w:bidi="ar-SA"/>
    </w:rPr>
  </w:style>
  <w:style w:type="paragraph" w:customStyle="1" w:styleId="52">
    <w:name w:val="western"/>
    <w:basedOn w:val="1"/>
    <w:qFormat/>
    <w:uiPriority w:val="0"/>
    <w:pPr>
      <w:widowControl/>
      <w:autoSpaceDE/>
      <w:autoSpaceDN/>
      <w:spacing w:before="100" w:beforeAutospacing="1" w:after="100" w:afterAutospacing="1" w:line="240" w:lineRule="auto"/>
      <w:ind w:firstLine="0" w:firstLineChars="0"/>
    </w:pPr>
    <w:rPr>
      <w:szCs w:val="24"/>
      <w:lang w:eastAsia="zh-CN"/>
    </w:rPr>
  </w:style>
  <w:style w:type="character" w:customStyle="1" w:styleId="53">
    <w:name w:val="未处理的提及3"/>
    <w:basedOn w:val="32"/>
    <w:semiHidden/>
    <w:unhideWhenUsed/>
    <w:qFormat/>
    <w:uiPriority w:val="99"/>
    <w:rPr>
      <w:color w:val="605E5C"/>
      <w:shd w:val="clear" w:color="auto" w:fill="E1DFDD"/>
    </w:rPr>
  </w:style>
  <w:style w:type="paragraph" w:customStyle="1" w:styleId="54">
    <w:name w:val="修订3"/>
    <w:hidden/>
    <w:unhideWhenUsed/>
    <w:qFormat/>
    <w:uiPriority w:val="99"/>
    <w:rPr>
      <w:rFonts w:ascii="宋体" w:hAnsi="宋体" w:eastAsia="宋体" w:cs="宋体"/>
      <w:sz w:val="24"/>
      <w:szCs w:val="22"/>
      <w:lang w:val="en-US" w:eastAsia="en-US" w:bidi="ar-SA"/>
    </w:rPr>
  </w:style>
  <w:style w:type="character" w:customStyle="1" w:styleId="55">
    <w:name w:val="未处理的提及4"/>
    <w:basedOn w:val="32"/>
    <w:semiHidden/>
    <w:unhideWhenUsed/>
    <w:qFormat/>
    <w:uiPriority w:val="99"/>
    <w:rPr>
      <w:color w:val="605E5C"/>
      <w:shd w:val="clear" w:color="auto" w:fill="E1DFDD"/>
    </w:rPr>
  </w:style>
  <w:style w:type="character" w:customStyle="1" w:styleId="56">
    <w:name w:val="批注文字 字符"/>
    <w:basedOn w:val="32"/>
    <w:link w:val="14"/>
    <w:semiHidden/>
    <w:qFormat/>
    <w:uiPriority w:val="99"/>
    <w:rPr>
      <w:rFonts w:ascii="宋体" w:hAnsi="宋体" w:cs="宋体"/>
      <w:sz w:val="24"/>
      <w:szCs w:val="22"/>
      <w:lang w:eastAsia="en-US"/>
    </w:rPr>
  </w:style>
  <w:style w:type="character" w:customStyle="1" w:styleId="57">
    <w:name w:val="批注主题 字符"/>
    <w:basedOn w:val="56"/>
    <w:link w:val="29"/>
    <w:semiHidden/>
    <w:qFormat/>
    <w:uiPriority w:val="99"/>
    <w:rPr>
      <w:rFonts w:ascii="宋体" w:hAnsi="宋体" w:cs="宋体"/>
      <w:b/>
      <w:bCs/>
      <w:sz w:val="24"/>
      <w:szCs w:val="22"/>
      <w:lang w:eastAsia="en-US"/>
    </w:rPr>
  </w:style>
  <w:style w:type="paragraph" w:customStyle="1" w:styleId="58">
    <w:name w:val="Char1"/>
    <w:qFormat/>
    <w:uiPriority w:val="0"/>
    <w:pPr>
      <w:spacing w:after="160" w:line="240" w:lineRule="exact"/>
    </w:pPr>
    <w:rPr>
      <w:rFonts w:ascii="Times New Roman" w:hAnsi="Times New Roman" w:eastAsia="宋体" w:cs="Times New Roman"/>
      <w:kern w:val="2"/>
      <w:sz w:val="21"/>
      <w:szCs w:val="24"/>
      <w:lang w:val="en-US" w:eastAsia="zh-CN" w:bidi="ar-SA"/>
    </w:rPr>
  </w:style>
  <w:style w:type="paragraph" w:customStyle="1" w:styleId="59">
    <w:name w:val="修订4"/>
    <w:hidden/>
    <w:unhideWhenUsed/>
    <w:qFormat/>
    <w:uiPriority w:val="99"/>
    <w:rPr>
      <w:rFonts w:ascii="宋体" w:hAnsi="宋体" w:eastAsia="宋体" w:cs="宋体"/>
      <w:sz w:val="28"/>
      <w:szCs w:val="22"/>
      <w:lang w:val="en-US" w:eastAsia="en-US" w:bidi="ar-SA"/>
    </w:rPr>
  </w:style>
  <w:style w:type="character" w:customStyle="1" w:styleId="60">
    <w:name w:val="未处理的提及5"/>
    <w:basedOn w:val="32"/>
    <w:semiHidden/>
    <w:unhideWhenUsed/>
    <w:qFormat/>
    <w:uiPriority w:val="99"/>
    <w:rPr>
      <w:color w:val="605E5C"/>
      <w:shd w:val="clear" w:color="auto" w:fill="E1DFDD"/>
    </w:rPr>
  </w:style>
  <w:style w:type="paragraph" w:customStyle="1" w:styleId="61">
    <w:name w:val="TOC 标题2"/>
    <w:basedOn w:val="3"/>
    <w:next w:val="1"/>
    <w:unhideWhenUsed/>
    <w:qFormat/>
    <w:uiPriority w:val="39"/>
    <w:pPr>
      <w:widowControl/>
      <w:numPr>
        <w:numId w:val="0"/>
      </w:numPr>
      <w:autoSpaceDE/>
      <w:autoSpaceDN/>
      <w:spacing w:before="240" w:line="259" w:lineRule="auto"/>
      <w:jc w:val="left"/>
      <w:outlineLvl w:val="9"/>
    </w:pPr>
    <w:rPr>
      <w:rFonts w:asciiTheme="majorHAnsi" w:hAnsiTheme="majorHAnsi" w:eastAsiaTheme="majorEastAsia" w:cstheme="majorBidi"/>
      <w:b/>
      <w:bCs w:val="0"/>
      <w:color w:val="2E75B6" w:themeColor="accent1" w:themeShade="BF"/>
      <w:kern w:val="0"/>
      <w:szCs w:val="32"/>
    </w:rPr>
  </w:style>
  <w:style w:type="character" w:customStyle="1" w:styleId="62">
    <w:name w:val="标题 4 字符"/>
    <w:basedOn w:val="32"/>
    <w:link w:val="6"/>
    <w:qFormat/>
    <w:uiPriority w:val="9"/>
    <w:rPr>
      <w:rFonts w:ascii="Times New Roman" w:hAnsi="Times New Roman" w:eastAsia="仿宋" w:cstheme="majorBidi"/>
      <w:bCs/>
      <w:sz w:val="32"/>
      <w:szCs w:val="28"/>
      <w:lang w:eastAsia="en-US"/>
    </w:rPr>
  </w:style>
  <w:style w:type="character" w:customStyle="1" w:styleId="63">
    <w:name w:val="标题 5 字符"/>
    <w:basedOn w:val="32"/>
    <w:link w:val="7"/>
    <w:semiHidden/>
    <w:qFormat/>
    <w:uiPriority w:val="9"/>
    <w:rPr>
      <w:rFonts w:ascii="宋体" w:hAnsi="宋体" w:cs="宋体"/>
      <w:b/>
      <w:bCs/>
      <w:sz w:val="28"/>
      <w:szCs w:val="28"/>
      <w:lang w:eastAsia="en-US"/>
    </w:rPr>
  </w:style>
  <w:style w:type="character" w:customStyle="1" w:styleId="64">
    <w:name w:val="标题 6 字符"/>
    <w:basedOn w:val="32"/>
    <w:link w:val="8"/>
    <w:semiHidden/>
    <w:qFormat/>
    <w:uiPriority w:val="9"/>
    <w:rPr>
      <w:rFonts w:asciiTheme="majorHAnsi" w:hAnsiTheme="majorHAnsi" w:eastAsiaTheme="majorEastAsia" w:cstheme="majorBidi"/>
      <w:b/>
      <w:bCs/>
      <w:sz w:val="24"/>
      <w:szCs w:val="24"/>
      <w:lang w:eastAsia="en-US"/>
    </w:rPr>
  </w:style>
  <w:style w:type="character" w:customStyle="1" w:styleId="65">
    <w:name w:val="标题 7 字符"/>
    <w:basedOn w:val="32"/>
    <w:link w:val="9"/>
    <w:semiHidden/>
    <w:qFormat/>
    <w:uiPriority w:val="9"/>
    <w:rPr>
      <w:rFonts w:ascii="宋体" w:hAnsi="宋体" w:cs="宋体"/>
      <w:b/>
      <w:bCs/>
      <w:sz w:val="24"/>
      <w:szCs w:val="24"/>
      <w:lang w:eastAsia="en-US"/>
    </w:rPr>
  </w:style>
  <w:style w:type="character" w:customStyle="1" w:styleId="66">
    <w:name w:val="标题 8 字符"/>
    <w:basedOn w:val="32"/>
    <w:link w:val="10"/>
    <w:semiHidden/>
    <w:qFormat/>
    <w:uiPriority w:val="9"/>
    <w:rPr>
      <w:rFonts w:asciiTheme="majorHAnsi" w:hAnsiTheme="majorHAnsi" w:eastAsiaTheme="majorEastAsia" w:cstheme="majorBidi"/>
      <w:sz w:val="24"/>
      <w:szCs w:val="24"/>
      <w:lang w:eastAsia="en-US"/>
    </w:rPr>
  </w:style>
  <w:style w:type="character" w:customStyle="1" w:styleId="67">
    <w:name w:val="标题 9 字符"/>
    <w:basedOn w:val="32"/>
    <w:link w:val="11"/>
    <w:semiHidden/>
    <w:qFormat/>
    <w:uiPriority w:val="9"/>
    <w:rPr>
      <w:rFonts w:asciiTheme="majorHAnsi" w:hAnsiTheme="majorHAnsi" w:eastAsiaTheme="majorEastAsia" w:cstheme="majorBidi"/>
      <w:sz w:val="21"/>
      <w:szCs w:val="21"/>
      <w:lang w:eastAsia="en-US"/>
    </w:rPr>
  </w:style>
  <w:style w:type="paragraph" w:customStyle="1" w:styleId="68">
    <w:name w:val="WPSOffice手动目录 1"/>
    <w:qFormat/>
    <w:uiPriority w:val="0"/>
    <w:rPr>
      <w:rFonts w:ascii="Times New Roman" w:hAnsi="Times New Roman" w:eastAsia="宋体" w:cs="Times New Roman"/>
      <w:lang w:val="en-US" w:eastAsia="zh-CN" w:bidi="ar-SA"/>
    </w:rPr>
  </w:style>
  <w:style w:type="paragraph" w:customStyle="1" w:styleId="69">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70">
    <w:name w:val="Unresolved Mention"/>
    <w:basedOn w:val="32"/>
    <w:semiHidden/>
    <w:unhideWhenUsed/>
    <w:qFormat/>
    <w:uiPriority w:val="99"/>
    <w:rPr>
      <w:color w:val="605E5C"/>
      <w:shd w:val="clear" w:color="auto" w:fill="E1DFDD"/>
    </w:rPr>
  </w:style>
  <w:style w:type="paragraph" w:customStyle="1" w:styleId="71">
    <w:name w:val="Revision"/>
    <w:hidden/>
    <w:unhideWhenUsed/>
    <w:qFormat/>
    <w:uiPriority w:val="99"/>
    <w:rPr>
      <w:rFonts w:ascii="宋体" w:hAnsi="宋体" w:eastAsia="宋体" w:cs="宋体"/>
      <w:sz w:val="28"/>
      <w:szCs w:val="22"/>
      <w:lang w:val="en-US" w:eastAsia="en-US" w:bidi="ar-SA"/>
    </w:rPr>
  </w:style>
  <w:style w:type="paragraph" w:customStyle="1" w:styleId="72">
    <w:name w:val="正文 New"/>
    <w:qFormat/>
    <w:uiPriority w:val="0"/>
    <w:pPr>
      <w:widowControl w:val="0"/>
      <w:jc w:val="both"/>
    </w:pPr>
    <w:rPr>
      <w:rFonts w:ascii="Calibri" w:hAnsi="Calibri" w:eastAsia="宋体" w:cs="Times New Roman"/>
      <w:kern w:val="2"/>
      <w:sz w:val="21"/>
      <w:szCs w:val="22"/>
      <w:lang w:val="en-US" w:eastAsia="zh-CN"/>
    </w:rPr>
  </w:style>
  <w:style w:type="paragraph" w:customStyle="1" w:styleId="73">
    <w:name w:val="Char Char Char"/>
    <w:basedOn w:val="1"/>
    <w:qFormat/>
    <w:uiPriority w:val="99"/>
    <w:pPr>
      <w:spacing w:line="240" w:lineRule="auto"/>
      <w:ind w:firstLine="0" w:firstLineChars="0"/>
    </w:pPr>
    <w:rPr>
      <w:rFonts w:ascii="宋体" w:hAnsi="Times New Roman" w:cs="宋体"/>
      <w:kern w:val="0"/>
      <w:sz w:val="24"/>
      <w:szCs w:val="24"/>
    </w:rPr>
  </w:style>
  <w:style w:type="character" w:customStyle="1" w:styleId="74">
    <w:name w:val="标题 3 Char"/>
    <w:qFormat/>
    <w:uiPriority w:val="99"/>
    <w:rPr>
      <w:rFonts w:eastAsia="仿宋_GB2312"/>
      <w:b/>
      <w:bCs/>
      <w:kern w:val="2"/>
      <w:sz w:val="32"/>
      <w:szCs w:val="32"/>
    </w:rPr>
  </w:style>
  <w:style w:type="character" w:customStyle="1" w:styleId="75">
    <w:name w:val="标题 2 Char"/>
    <w:qFormat/>
    <w:uiPriority w:val="99"/>
    <w:rPr>
      <w:rFonts w:ascii="Arial" w:hAnsi="Arial" w:eastAsia="黑体" w:cs="Arial"/>
      <w:b/>
      <w:bCs/>
      <w:kern w:val="2"/>
      <w:sz w:val="32"/>
      <w:szCs w:val="32"/>
    </w:rPr>
  </w:style>
  <w:style w:type="paragraph" w:customStyle="1" w:styleId="76">
    <w:name w:val="文字"/>
    <w:basedOn w:val="1"/>
    <w:qFormat/>
    <w:uiPriority w:val="99"/>
    <w:pPr>
      <w:widowControl/>
      <w:spacing w:afterLines="50"/>
      <w:ind w:firstLine="420" w:firstLineChars="0"/>
    </w:pPr>
    <w:rPr>
      <w:rFonts w:ascii="Times New Roman" w:hAnsi="Times New Roman" w:cs="Times New Roman"/>
      <w:kern w:val="0"/>
    </w:rPr>
  </w:style>
  <w:style w:type="paragraph" w:customStyle="1" w:styleId="77">
    <w:name w:val="表格"/>
    <w:basedOn w:val="1"/>
    <w:qFormat/>
    <w:uiPriority w:val="99"/>
    <w:pPr>
      <w:widowControl/>
      <w:snapToGrid w:val="0"/>
      <w:spacing w:line="240" w:lineRule="auto"/>
      <w:ind w:firstLine="0" w:firstLineChars="0"/>
      <w:jc w:val="center"/>
    </w:pPr>
    <w:rPr>
      <w:rFonts w:ascii="Times New Roman" w:hAnsi="Times New Roman" w:cs="Times New Roman"/>
      <w:kern w:val="0"/>
      <w:sz w:val="21"/>
      <w:szCs w:val="21"/>
      <w:lang w:eastAsia="zh-TW"/>
    </w:rPr>
  </w:style>
  <w:style w:type="paragraph" w:customStyle="1" w:styleId="78">
    <w:name w:val="正文 New New"/>
    <w:qFormat/>
    <w:uiPriority w:val="99"/>
    <w:pPr>
      <w:widowControl w:val="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jpeg"/><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37</Pages>
  <Words>58196</Words>
  <Characters>61992</Characters>
  <Lines>502</Lines>
  <Paragraphs>141</Paragraphs>
  <TotalTime>3</TotalTime>
  <ScaleCrop>false</ScaleCrop>
  <LinksUpToDate>false</LinksUpToDate>
  <CharactersWithSpaces>62850</CharactersWithSpaces>
  <Application>WPS Office_12.8.2.17836_F1E327BC-269C-435d-A152-05C5408002CA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2023-12-25T10:06:00Z</dcterms:created>
  <dc:creator>李银珠</dc:creator>
  <cp:lastModifiedBy>user</cp:lastModifiedBy>
  <cp:lastPrinted>2025-09-17T09:15:00Z</cp:lastPrinted>
  <dcterms:modified xsi:type="dcterms:W3CDTF">2025-10-10T10:32:39Z</dcterms:modified>
  <cp:revision>608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2052-12.8.2.17836</vt:lpwstr>
  </property>
  <property fmtid="{D5CDD505-2E9C-101B-9397-08002B2CF9AE}" pid="3" name="ICV">
    <vt:lpwstr>31DC59951F8642708894584296ED2647</vt:lpwstr>
  </property>
  <property fmtid="{D5CDD505-2E9C-101B-9397-08002B2CF9AE}" pid="4" name="KSOTemplateDocerSaveRecord">
    <vt:lpwstr>eyJoZGlkIjoiYzE4NmRmYzg4YmJhYjI4OWM1M2NmYWIxNDhiNTdkMmIiLCJ1c2VySWQiOiIzNjQ3OTU3NzEifQ==</vt:lpwstr>
  </property>
</Properties>
</file>